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jc w:val="center"/>
        <w:tblLook w:val="04A0" w:firstRow="1" w:lastRow="0" w:firstColumn="1" w:lastColumn="0" w:noHBand="0" w:noVBand="1"/>
      </w:tblPr>
      <w:tblGrid>
        <w:gridCol w:w="561"/>
        <w:gridCol w:w="1841"/>
        <w:gridCol w:w="1883"/>
        <w:gridCol w:w="5653"/>
        <w:gridCol w:w="4056"/>
      </w:tblGrid>
      <w:tr w:rsidR="00E35677" w:rsidRPr="00FF4480" w14:paraId="56E089F6" w14:textId="77777777" w:rsidTr="00B919AF">
        <w:trPr>
          <w:trHeight w:val="592"/>
          <w:jc w:val="center"/>
        </w:trPr>
        <w:tc>
          <w:tcPr>
            <w:tcW w:w="13994" w:type="dxa"/>
            <w:gridSpan w:val="5"/>
            <w:shd w:val="clear" w:color="auto" w:fill="A6A6A6" w:themeFill="background1" w:themeFillShade="A6"/>
            <w:vAlign w:val="center"/>
          </w:tcPr>
          <w:p w14:paraId="262AE6AF" w14:textId="3176E4F1" w:rsidR="00E35677" w:rsidRPr="006D0AE4" w:rsidRDefault="003514BB" w:rsidP="006D0AE4">
            <w:pPr>
              <w:spacing w:line="360" w:lineRule="auto"/>
              <w:jc w:val="center"/>
              <w:rPr>
                <w:rFonts w:ascii="Times New Roman" w:hAnsi="Times New Roman" w:cs="Times New Roman"/>
                <w:b/>
                <w:sz w:val="24"/>
                <w:szCs w:val="24"/>
                <w:lang w:eastAsia="pl-PL"/>
              </w:rPr>
            </w:pPr>
            <w:r>
              <w:rPr>
                <w:rFonts w:ascii="Times New Roman" w:hAnsi="Times New Roman" w:cs="Times New Roman"/>
                <w:b/>
                <w:sz w:val="24"/>
                <w:szCs w:val="24"/>
                <w:lang w:eastAsia="pl-PL"/>
              </w:rPr>
              <w:t>U</w:t>
            </w:r>
            <w:r w:rsidR="00E35677" w:rsidRPr="002A6ED8">
              <w:rPr>
                <w:rFonts w:ascii="Times New Roman" w:hAnsi="Times New Roman" w:cs="Times New Roman"/>
                <w:b/>
                <w:sz w:val="24"/>
                <w:szCs w:val="24"/>
                <w:lang w:eastAsia="pl-PL"/>
              </w:rPr>
              <w:t xml:space="preserve">wagi do projektu </w:t>
            </w:r>
            <w:r w:rsidR="00741A58" w:rsidRPr="00741A58">
              <w:rPr>
                <w:rFonts w:ascii="Times New Roman" w:hAnsi="Times New Roman" w:cs="Times New Roman"/>
                <w:b/>
                <w:sz w:val="24"/>
                <w:szCs w:val="24"/>
                <w:lang w:eastAsia="pl-PL"/>
              </w:rPr>
              <w:t xml:space="preserve">ustawy </w:t>
            </w:r>
            <w:r w:rsidR="006D0AE4" w:rsidRPr="006D0AE4">
              <w:rPr>
                <w:rFonts w:ascii="Times New Roman" w:hAnsi="Times New Roman" w:cs="Times New Roman"/>
                <w:b/>
                <w:sz w:val="24"/>
                <w:szCs w:val="24"/>
                <w:lang w:eastAsia="pl-PL"/>
              </w:rPr>
              <w:t>o zmianie ustawy – Kodeks cywilny oraz niektórych innych ustaw</w:t>
            </w:r>
            <w:r>
              <w:rPr>
                <w:rFonts w:ascii="Times New Roman" w:hAnsi="Times New Roman" w:cs="Times New Roman"/>
                <w:b/>
                <w:sz w:val="24"/>
                <w:szCs w:val="24"/>
                <w:lang w:eastAsia="pl-PL"/>
              </w:rPr>
              <w:t xml:space="preserve"> (UD222)</w:t>
            </w:r>
            <w:r w:rsidR="00E35677" w:rsidRPr="002A6ED8">
              <w:rPr>
                <w:rFonts w:ascii="Times New Roman" w:hAnsi="Times New Roman" w:cs="Times New Roman"/>
                <w:sz w:val="24"/>
                <w:szCs w:val="24"/>
                <w:lang w:eastAsia="pl-PL"/>
              </w:rPr>
              <w:br/>
            </w:r>
            <w:r w:rsidR="00E35677" w:rsidRPr="00E35677">
              <w:rPr>
                <w:rFonts w:ascii="Times New Roman" w:hAnsi="Times New Roman" w:cs="Times New Roman"/>
                <w:sz w:val="20"/>
                <w:szCs w:val="20"/>
                <w:lang w:eastAsia="pl-PL"/>
              </w:rPr>
              <w:t xml:space="preserve">(projekt z dnia </w:t>
            </w:r>
            <w:r>
              <w:rPr>
                <w:rFonts w:ascii="Times New Roman" w:hAnsi="Times New Roman" w:cs="Times New Roman"/>
                <w:sz w:val="20"/>
                <w:szCs w:val="20"/>
                <w:lang w:eastAsia="pl-PL"/>
              </w:rPr>
              <w:t>15</w:t>
            </w:r>
            <w:r w:rsidR="00E23A7D">
              <w:rPr>
                <w:rFonts w:ascii="Times New Roman" w:hAnsi="Times New Roman" w:cs="Times New Roman"/>
                <w:sz w:val="20"/>
                <w:szCs w:val="20"/>
                <w:lang w:eastAsia="pl-PL"/>
              </w:rPr>
              <w:t xml:space="preserve"> </w:t>
            </w:r>
            <w:r>
              <w:rPr>
                <w:rFonts w:ascii="Times New Roman" w:hAnsi="Times New Roman" w:cs="Times New Roman"/>
                <w:sz w:val="20"/>
                <w:szCs w:val="20"/>
                <w:lang w:eastAsia="pl-PL"/>
              </w:rPr>
              <w:t>grudnia</w:t>
            </w:r>
            <w:r w:rsidR="00E23A7D">
              <w:rPr>
                <w:rFonts w:ascii="Times New Roman" w:hAnsi="Times New Roman" w:cs="Times New Roman"/>
                <w:sz w:val="20"/>
                <w:szCs w:val="20"/>
                <w:lang w:eastAsia="pl-PL"/>
              </w:rPr>
              <w:t xml:space="preserve"> 2021</w:t>
            </w:r>
            <w:r w:rsidR="00E35677" w:rsidRPr="00E35677">
              <w:rPr>
                <w:rFonts w:ascii="Times New Roman" w:hAnsi="Times New Roman" w:cs="Times New Roman"/>
                <w:sz w:val="20"/>
                <w:szCs w:val="20"/>
                <w:lang w:eastAsia="pl-PL"/>
              </w:rPr>
              <w:t xml:space="preserve"> r.)</w:t>
            </w:r>
          </w:p>
        </w:tc>
      </w:tr>
      <w:tr w:rsidR="008842F2" w:rsidRPr="00FF4480" w14:paraId="0F5D1353" w14:textId="77777777" w:rsidTr="00B919AF">
        <w:trPr>
          <w:jc w:val="center"/>
        </w:trPr>
        <w:tc>
          <w:tcPr>
            <w:tcW w:w="13994" w:type="dxa"/>
            <w:gridSpan w:val="5"/>
            <w:shd w:val="clear" w:color="auto" w:fill="A6A6A6" w:themeFill="background1" w:themeFillShade="A6"/>
          </w:tcPr>
          <w:p w14:paraId="7F1979A8" w14:textId="77777777" w:rsidR="008842F2" w:rsidRPr="00865AF4" w:rsidRDefault="008842F2" w:rsidP="008842F2">
            <w:pPr>
              <w:spacing w:before="120" w:after="120"/>
              <w:jc w:val="center"/>
              <w:rPr>
                <w:rFonts w:ascii="Times New Roman" w:hAnsi="Times New Roman" w:cs="Times New Roman"/>
                <w:b/>
                <w:bCs/>
                <w:color w:val="365F91" w:themeColor="accent1" w:themeShade="BF"/>
                <w:sz w:val="24"/>
                <w:szCs w:val="24"/>
              </w:rPr>
            </w:pPr>
            <w:r w:rsidRPr="00865AF4">
              <w:rPr>
                <w:rFonts w:ascii="Times New Roman" w:hAnsi="Times New Roman" w:cs="Times New Roman"/>
                <w:b/>
                <w:bCs/>
                <w:color w:val="000000" w:themeColor="text1"/>
                <w:sz w:val="24"/>
                <w:szCs w:val="24"/>
              </w:rPr>
              <w:t xml:space="preserve">Uwagi </w:t>
            </w:r>
            <w:r w:rsidR="00865AF4">
              <w:rPr>
                <w:rFonts w:ascii="Times New Roman" w:hAnsi="Times New Roman" w:cs="Times New Roman"/>
                <w:b/>
                <w:bCs/>
                <w:color w:val="000000" w:themeColor="text1"/>
                <w:sz w:val="24"/>
                <w:szCs w:val="24"/>
              </w:rPr>
              <w:t>ogólne</w:t>
            </w:r>
          </w:p>
        </w:tc>
      </w:tr>
      <w:tr w:rsidR="00252F32" w:rsidRPr="00FF4480" w14:paraId="2746B0BC" w14:textId="77777777" w:rsidTr="00C51680">
        <w:trPr>
          <w:jc w:val="center"/>
        </w:trPr>
        <w:tc>
          <w:tcPr>
            <w:tcW w:w="561" w:type="dxa"/>
          </w:tcPr>
          <w:p w14:paraId="65537CAC" w14:textId="4511823A" w:rsidR="003E5D74" w:rsidRPr="00B919AF" w:rsidRDefault="00252F32" w:rsidP="00252F32">
            <w:pPr>
              <w:spacing w:before="120"/>
              <w:ind w:right="-534"/>
              <w:rPr>
                <w:rFonts w:ascii="Times New Roman" w:hAnsi="Times New Roman" w:cs="Times New Roman"/>
                <w:b/>
                <w:sz w:val="20"/>
              </w:rPr>
            </w:pPr>
            <w:r>
              <w:rPr>
                <w:rFonts w:ascii="Times New Roman" w:hAnsi="Times New Roman" w:cs="Times New Roman"/>
                <w:b/>
                <w:sz w:val="20"/>
              </w:rPr>
              <w:t>1.</w:t>
            </w:r>
          </w:p>
        </w:tc>
        <w:tc>
          <w:tcPr>
            <w:tcW w:w="1841" w:type="dxa"/>
            <w:vAlign w:val="center"/>
          </w:tcPr>
          <w:p w14:paraId="4EE2AD99" w14:textId="32AFB4D4" w:rsidR="003E5D74" w:rsidRPr="00FF4480" w:rsidRDefault="00D46319" w:rsidP="00252F32">
            <w:pPr>
              <w:spacing w:before="120" w:after="120"/>
              <w:jc w:val="center"/>
              <w:rPr>
                <w:rFonts w:ascii="Times New Roman" w:hAnsi="Times New Roman" w:cs="Times New Roman"/>
                <w:sz w:val="20"/>
              </w:rPr>
            </w:pPr>
            <w:r>
              <w:rPr>
                <w:rFonts w:ascii="Times New Roman" w:hAnsi="Times New Roman" w:cs="Times New Roman"/>
                <w:sz w:val="20"/>
              </w:rPr>
              <w:t>Rzecznik Praw Obywatelskich</w:t>
            </w:r>
          </w:p>
        </w:tc>
        <w:tc>
          <w:tcPr>
            <w:tcW w:w="1883" w:type="dxa"/>
            <w:vAlign w:val="center"/>
          </w:tcPr>
          <w:p w14:paraId="692A9BA0" w14:textId="3C1DA76F" w:rsidR="003E5D74" w:rsidRPr="00FF4480" w:rsidRDefault="00A07BB6" w:rsidP="00252F32">
            <w:pPr>
              <w:spacing w:before="120" w:after="120"/>
              <w:jc w:val="center"/>
              <w:rPr>
                <w:rFonts w:ascii="Times New Roman" w:hAnsi="Times New Roman" w:cs="Times New Roman"/>
                <w:sz w:val="20"/>
              </w:rPr>
            </w:pPr>
            <w:r>
              <w:rPr>
                <w:rFonts w:ascii="Times New Roman" w:hAnsi="Times New Roman" w:cs="Times New Roman"/>
                <w:sz w:val="20"/>
              </w:rPr>
              <w:t>Współwystępowanie</w:t>
            </w:r>
            <w:r w:rsidR="00D46319">
              <w:rPr>
                <w:rFonts w:ascii="Times New Roman" w:hAnsi="Times New Roman" w:cs="Times New Roman"/>
                <w:sz w:val="20"/>
              </w:rPr>
              <w:t xml:space="preserve"> w obrocie </w:t>
            </w:r>
            <w:r>
              <w:rPr>
                <w:rFonts w:ascii="Times New Roman" w:hAnsi="Times New Roman" w:cs="Times New Roman"/>
                <w:sz w:val="20"/>
              </w:rPr>
              <w:t>kilku postanowień sądowych stwierdzających nabycie spadku po tej samej osobie</w:t>
            </w:r>
          </w:p>
        </w:tc>
        <w:tc>
          <w:tcPr>
            <w:tcW w:w="5653" w:type="dxa"/>
            <w:vAlign w:val="center"/>
          </w:tcPr>
          <w:p w14:paraId="6713A857" w14:textId="68FB0E79" w:rsidR="008D7600" w:rsidRPr="00C408BD" w:rsidRDefault="00C408BD" w:rsidP="00C408BD">
            <w:pPr>
              <w:autoSpaceDE w:val="0"/>
              <w:autoSpaceDN w:val="0"/>
              <w:adjustRightInd w:val="0"/>
              <w:jc w:val="both"/>
              <w:rPr>
                <w:rFonts w:ascii="Times New Roman" w:hAnsi="Times New Roman" w:cs="Times New Roman"/>
                <w:sz w:val="20"/>
                <w:szCs w:val="20"/>
              </w:rPr>
            </w:pPr>
            <w:r w:rsidRPr="00C408BD">
              <w:rPr>
                <w:rFonts w:ascii="Times New Roman" w:hAnsi="Times New Roman" w:cs="Times New Roman"/>
                <w:sz w:val="20"/>
                <w:szCs w:val="20"/>
              </w:rPr>
              <w:t>W</w:t>
            </w:r>
            <w:r w:rsidR="008D7600" w:rsidRPr="00C408BD">
              <w:rPr>
                <w:rFonts w:ascii="Times New Roman" w:hAnsi="Times New Roman" w:cs="Times New Roman"/>
                <w:sz w:val="20"/>
                <w:szCs w:val="20"/>
              </w:rPr>
              <w:t xml:space="preserve"> związku z pracami legislacyjnymi podjętymi przez Ministerstwo Sprawiedliwości</w:t>
            </w:r>
            <w:r>
              <w:rPr>
                <w:rFonts w:ascii="Times New Roman" w:hAnsi="Times New Roman" w:cs="Times New Roman"/>
                <w:sz w:val="20"/>
                <w:szCs w:val="20"/>
              </w:rPr>
              <w:t xml:space="preserve"> </w:t>
            </w:r>
            <w:r w:rsidR="008D7600" w:rsidRPr="00C408BD">
              <w:rPr>
                <w:rFonts w:ascii="Times New Roman" w:hAnsi="Times New Roman" w:cs="Times New Roman"/>
                <w:sz w:val="20"/>
                <w:szCs w:val="20"/>
              </w:rPr>
              <w:t>w zakresie prawa spadkowego (numer projektu: UD 222), chciałbym powrócić do problemu</w:t>
            </w:r>
            <w:r>
              <w:rPr>
                <w:rFonts w:ascii="Times New Roman" w:hAnsi="Times New Roman" w:cs="Times New Roman"/>
                <w:sz w:val="20"/>
                <w:szCs w:val="20"/>
              </w:rPr>
              <w:t xml:space="preserve"> </w:t>
            </w:r>
            <w:r w:rsidR="008D7600" w:rsidRPr="00C408BD">
              <w:rPr>
                <w:rFonts w:ascii="Times New Roman" w:hAnsi="Times New Roman" w:cs="Times New Roman"/>
                <w:sz w:val="20"/>
                <w:szCs w:val="20"/>
              </w:rPr>
              <w:t>poruszanego dotychczas w wystąpieniach RPO z 1 lipca 2020 r. o nr IV.511.221.2020.KPa i</w:t>
            </w:r>
            <w:r>
              <w:rPr>
                <w:rFonts w:ascii="Times New Roman" w:hAnsi="Times New Roman" w:cs="Times New Roman"/>
                <w:sz w:val="20"/>
                <w:szCs w:val="20"/>
              </w:rPr>
              <w:t xml:space="preserve"> </w:t>
            </w:r>
            <w:r w:rsidR="008D7600" w:rsidRPr="00C408BD">
              <w:rPr>
                <w:rFonts w:ascii="Times New Roman" w:hAnsi="Times New Roman" w:cs="Times New Roman"/>
                <w:sz w:val="20"/>
                <w:szCs w:val="20"/>
              </w:rPr>
              <w:t>6 listopada 2012 r. o nr RPO-686541-IV/11, jakim jest współwystępowanie w obrocie kilku</w:t>
            </w:r>
            <w:r>
              <w:rPr>
                <w:rFonts w:ascii="Times New Roman" w:hAnsi="Times New Roman" w:cs="Times New Roman"/>
                <w:sz w:val="20"/>
                <w:szCs w:val="20"/>
              </w:rPr>
              <w:t xml:space="preserve"> </w:t>
            </w:r>
            <w:r w:rsidR="008D7600" w:rsidRPr="00C408BD">
              <w:rPr>
                <w:rFonts w:ascii="Times New Roman" w:hAnsi="Times New Roman" w:cs="Times New Roman"/>
                <w:sz w:val="20"/>
                <w:szCs w:val="20"/>
              </w:rPr>
              <w:t>postanowień sądowych stwierdzających nabycie spadku po tej samej osobie. W odpowiedzi</w:t>
            </w:r>
          </w:p>
          <w:p w14:paraId="39D8D8D0" w14:textId="3FCE13B4" w:rsidR="008D7600" w:rsidRPr="00C408BD" w:rsidRDefault="008D7600" w:rsidP="00C408BD">
            <w:pPr>
              <w:autoSpaceDE w:val="0"/>
              <w:autoSpaceDN w:val="0"/>
              <w:adjustRightInd w:val="0"/>
              <w:jc w:val="both"/>
              <w:rPr>
                <w:rFonts w:ascii="Times New Roman" w:hAnsi="Times New Roman" w:cs="Times New Roman"/>
                <w:sz w:val="20"/>
                <w:szCs w:val="20"/>
              </w:rPr>
            </w:pPr>
            <w:r w:rsidRPr="00C408BD">
              <w:rPr>
                <w:rFonts w:ascii="Times New Roman" w:hAnsi="Times New Roman" w:cs="Times New Roman"/>
                <w:sz w:val="20"/>
                <w:szCs w:val="20"/>
              </w:rPr>
              <w:t>na ostatnie wystąpienie Rzecznika Praw Obywatelskich, pismem z dnia 19 lipca 2020 r. (nr</w:t>
            </w:r>
            <w:r w:rsidR="00C408BD">
              <w:rPr>
                <w:rFonts w:ascii="Times New Roman" w:hAnsi="Times New Roman" w:cs="Times New Roman"/>
                <w:sz w:val="20"/>
                <w:szCs w:val="20"/>
              </w:rPr>
              <w:t xml:space="preserve"> </w:t>
            </w:r>
            <w:r w:rsidRPr="00C408BD">
              <w:rPr>
                <w:rFonts w:ascii="Times New Roman" w:hAnsi="Times New Roman" w:cs="Times New Roman"/>
                <w:sz w:val="20"/>
                <w:szCs w:val="20"/>
              </w:rPr>
              <w:t>DLPC-I.053.3.2020) Podsekretarz Stanu w Ministerstwie Sprawiedliwości przyznał, że</w:t>
            </w:r>
            <w:r w:rsidR="00C408BD">
              <w:rPr>
                <w:rFonts w:ascii="Times New Roman" w:hAnsi="Times New Roman" w:cs="Times New Roman"/>
                <w:sz w:val="20"/>
                <w:szCs w:val="20"/>
              </w:rPr>
              <w:t xml:space="preserve"> </w:t>
            </w:r>
            <w:r w:rsidRPr="00C408BD">
              <w:rPr>
                <w:rFonts w:ascii="Times New Roman" w:hAnsi="Times New Roman" w:cs="Times New Roman"/>
                <w:sz w:val="20"/>
                <w:szCs w:val="20"/>
              </w:rPr>
              <w:t>problem ten ma charakter systemowy i jego rozwiązanie wymaga odpowiednich regulacji</w:t>
            </w:r>
            <w:r w:rsidR="00C408BD">
              <w:rPr>
                <w:rFonts w:ascii="Times New Roman" w:hAnsi="Times New Roman" w:cs="Times New Roman"/>
                <w:sz w:val="20"/>
                <w:szCs w:val="20"/>
              </w:rPr>
              <w:t xml:space="preserve"> </w:t>
            </w:r>
            <w:r w:rsidRPr="00C408BD">
              <w:rPr>
                <w:rFonts w:ascii="Times New Roman" w:hAnsi="Times New Roman" w:cs="Times New Roman"/>
                <w:sz w:val="20"/>
                <w:szCs w:val="20"/>
              </w:rPr>
              <w:t>na poziomie ustawowym, a szczegółowa analiza przedstawionych przez Rzecznika uwag</w:t>
            </w:r>
            <w:r w:rsidR="00C408BD">
              <w:rPr>
                <w:rFonts w:ascii="Times New Roman" w:hAnsi="Times New Roman" w:cs="Times New Roman"/>
                <w:sz w:val="20"/>
                <w:szCs w:val="20"/>
              </w:rPr>
              <w:t xml:space="preserve"> </w:t>
            </w:r>
            <w:r w:rsidRPr="00C408BD">
              <w:rPr>
                <w:rFonts w:ascii="Times New Roman" w:hAnsi="Times New Roman" w:cs="Times New Roman"/>
                <w:sz w:val="20"/>
                <w:szCs w:val="20"/>
              </w:rPr>
              <w:t>miała zostać dokonana w toku najbliższych prac legislacyjnych.</w:t>
            </w:r>
          </w:p>
          <w:p w14:paraId="217A9F7A" w14:textId="5E0C65E5" w:rsidR="008D7600" w:rsidRPr="00C408BD" w:rsidRDefault="008D7600" w:rsidP="00C408BD">
            <w:pPr>
              <w:autoSpaceDE w:val="0"/>
              <w:autoSpaceDN w:val="0"/>
              <w:adjustRightInd w:val="0"/>
              <w:jc w:val="both"/>
              <w:rPr>
                <w:rFonts w:ascii="Times New Roman" w:hAnsi="Times New Roman" w:cs="Times New Roman"/>
                <w:sz w:val="20"/>
                <w:szCs w:val="20"/>
              </w:rPr>
            </w:pPr>
            <w:r w:rsidRPr="00C408BD">
              <w:rPr>
                <w:rFonts w:ascii="Times New Roman" w:hAnsi="Times New Roman" w:cs="Times New Roman"/>
                <w:sz w:val="20"/>
                <w:szCs w:val="20"/>
              </w:rPr>
              <w:t>Co istotne, do mojego Biura nadal wpływa bardzo duża liczba wniosków o podjęcie</w:t>
            </w:r>
            <w:r w:rsidR="00C408BD">
              <w:rPr>
                <w:rFonts w:ascii="Times New Roman" w:hAnsi="Times New Roman" w:cs="Times New Roman"/>
                <w:sz w:val="20"/>
                <w:szCs w:val="20"/>
              </w:rPr>
              <w:t xml:space="preserve"> </w:t>
            </w:r>
            <w:r w:rsidRPr="00C408BD">
              <w:rPr>
                <w:rFonts w:ascii="Times New Roman" w:hAnsi="Times New Roman" w:cs="Times New Roman"/>
                <w:sz w:val="20"/>
                <w:szCs w:val="20"/>
              </w:rPr>
              <w:t>indywidualnych interwencji w tego typu sprawach: złożenie skargi o wznowienie (art. 524 §</w:t>
            </w:r>
            <w:r w:rsidR="00C408BD">
              <w:rPr>
                <w:rFonts w:ascii="Times New Roman" w:hAnsi="Times New Roman" w:cs="Times New Roman"/>
                <w:sz w:val="20"/>
                <w:szCs w:val="20"/>
              </w:rPr>
              <w:t xml:space="preserve"> </w:t>
            </w:r>
            <w:r w:rsidRPr="00C408BD">
              <w:rPr>
                <w:rFonts w:ascii="Times New Roman" w:hAnsi="Times New Roman" w:cs="Times New Roman"/>
                <w:sz w:val="20"/>
                <w:szCs w:val="20"/>
              </w:rPr>
              <w:t xml:space="preserve">1 k.p.c. i art. 403 § 2 </w:t>
            </w:r>
            <w:r w:rsidRPr="00C408BD">
              <w:rPr>
                <w:rFonts w:ascii="Times New Roman" w:hAnsi="Times New Roman" w:cs="Times New Roman"/>
                <w:i/>
                <w:iCs/>
                <w:sz w:val="20"/>
                <w:szCs w:val="20"/>
              </w:rPr>
              <w:t xml:space="preserve">in principio </w:t>
            </w:r>
            <w:r w:rsidRPr="00C408BD">
              <w:rPr>
                <w:rFonts w:ascii="Times New Roman" w:hAnsi="Times New Roman" w:cs="Times New Roman"/>
                <w:sz w:val="20"/>
                <w:szCs w:val="20"/>
              </w:rPr>
              <w:t>w zw. z art. 13 § 2 k.p.c.) lub skargi nadzwyczajnej (art.</w:t>
            </w:r>
            <w:r w:rsidR="00C408BD">
              <w:rPr>
                <w:rFonts w:ascii="Times New Roman" w:hAnsi="Times New Roman" w:cs="Times New Roman"/>
                <w:sz w:val="20"/>
                <w:szCs w:val="20"/>
              </w:rPr>
              <w:t xml:space="preserve"> </w:t>
            </w:r>
            <w:r w:rsidRPr="00C408BD">
              <w:rPr>
                <w:rFonts w:ascii="Times New Roman" w:hAnsi="Times New Roman" w:cs="Times New Roman"/>
                <w:sz w:val="20"/>
                <w:szCs w:val="20"/>
              </w:rPr>
              <w:t>89 § 1 ustawy z dnia 8 grudnia 2017 r. o Sądzie Najwyższym; t. jedn. Dz. U. z 2021 r. poz.</w:t>
            </w:r>
            <w:r w:rsidR="00C408BD">
              <w:rPr>
                <w:rFonts w:ascii="Times New Roman" w:hAnsi="Times New Roman" w:cs="Times New Roman"/>
                <w:sz w:val="20"/>
                <w:szCs w:val="20"/>
              </w:rPr>
              <w:t xml:space="preserve"> </w:t>
            </w:r>
            <w:r w:rsidRPr="00C408BD">
              <w:rPr>
                <w:rFonts w:ascii="Times New Roman" w:hAnsi="Times New Roman" w:cs="Times New Roman"/>
                <w:sz w:val="20"/>
                <w:szCs w:val="20"/>
              </w:rPr>
              <w:t>1904; dalej jako: „</w:t>
            </w:r>
            <w:proofErr w:type="spellStart"/>
            <w:r w:rsidRPr="00C408BD">
              <w:rPr>
                <w:rFonts w:ascii="Times New Roman" w:hAnsi="Times New Roman" w:cs="Times New Roman"/>
                <w:sz w:val="20"/>
                <w:szCs w:val="20"/>
              </w:rPr>
              <w:t>u.s.n</w:t>
            </w:r>
            <w:proofErr w:type="spellEnd"/>
            <w:r w:rsidRPr="00C408BD">
              <w:rPr>
                <w:rFonts w:ascii="Times New Roman" w:hAnsi="Times New Roman" w:cs="Times New Roman"/>
                <w:sz w:val="20"/>
                <w:szCs w:val="20"/>
              </w:rPr>
              <w:t>.”). Aktualnie przed sądami powszechnymi w całej Polsce toczy się</w:t>
            </w:r>
            <w:r w:rsidR="00C408BD">
              <w:rPr>
                <w:rFonts w:ascii="Times New Roman" w:hAnsi="Times New Roman" w:cs="Times New Roman"/>
                <w:sz w:val="20"/>
                <w:szCs w:val="20"/>
              </w:rPr>
              <w:t xml:space="preserve"> </w:t>
            </w:r>
            <w:r w:rsidRPr="00C408BD">
              <w:rPr>
                <w:rFonts w:ascii="Times New Roman" w:hAnsi="Times New Roman" w:cs="Times New Roman"/>
                <w:sz w:val="20"/>
                <w:szCs w:val="20"/>
              </w:rPr>
              <w:t>kilkanaście postępowań wznowieniowych ze skargi RPO, złożonej na rzecz tych obywateli,</w:t>
            </w:r>
            <w:r w:rsidR="00C408BD">
              <w:rPr>
                <w:rFonts w:ascii="Times New Roman" w:hAnsi="Times New Roman" w:cs="Times New Roman"/>
                <w:sz w:val="20"/>
                <w:szCs w:val="20"/>
              </w:rPr>
              <w:t xml:space="preserve"> </w:t>
            </w:r>
            <w:r w:rsidRPr="00C408BD">
              <w:rPr>
                <w:rFonts w:ascii="Times New Roman" w:hAnsi="Times New Roman" w:cs="Times New Roman"/>
                <w:sz w:val="20"/>
                <w:szCs w:val="20"/>
              </w:rPr>
              <w:t>którym upłynął trzymiesięczny termin z art. 407 § 1 k.p.c. Liczne są również te sprawy, w</w:t>
            </w:r>
            <w:r w:rsidR="00C408BD">
              <w:rPr>
                <w:rFonts w:ascii="Times New Roman" w:hAnsi="Times New Roman" w:cs="Times New Roman"/>
                <w:sz w:val="20"/>
                <w:szCs w:val="20"/>
              </w:rPr>
              <w:t xml:space="preserve"> </w:t>
            </w:r>
            <w:r w:rsidRPr="00C408BD">
              <w:rPr>
                <w:rFonts w:ascii="Times New Roman" w:hAnsi="Times New Roman" w:cs="Times New Roman"/>
                <w:sz w:val="20"/>
                <w:szCs w:val="20"/>
              </w:rPr>
              <w:t>których skarga o wznowienie nie może zostać złożona wobec upływu 10-letniego terminu z</w:t>
            </w:r>
            <w:r w:rsidR="00C408BD">
              <w:rPr>
                <w:rFonts w:ascii="Times New Roman" w:hAnsi="Times New Roman" w:cs="Times New Roman"/>
                <w:sz w:val="20"/>
                <w:szCs w:val="20"/>
              </w:rPr>
              <w:t xml:space="preserve"> </w:t>
            </w:r>
            <w:r w:rsidRPr="00C408BD">
              <w:rPr>
                <w:rFonts w:ascii="Times New Roman" w:hAnsi="Times New Roman" w:cs="Times New Roman"/>
                <w:sz w:val="20"/>
                <w:szCs w:val="20"/>
              </w:rPr>
              <w:t>art. 408 k.p.c. W takich sytuacjach Rzecznik korzysta ze skargi nadzwyczajnej: aktualnie na</w:t>
            </w:r>
            <w:r w:rsidR="00C408BD">
              <w:rPr>
                <w:rFonts w:ascii="Times New Roman" w:hAnsi="Times New Roman" w:cs="Times New Roman"/>
                <w:sz w:val="20"/>
                <w:szCs w:val="20"/>
              </w:rPr>
              <w:t xml:space="preserve"> </w:t>
            </w:r>
            <w:r w:rsidRPr="00C408BD">
              <w:rPr>
                <w:rFonts w:ascii="Times New Roman" w:hAnsi="Times New Roman" w:cs="Times New Roman"/>
                <w:sz w:val="20"/>
                <w:szCs w:val="20"/>
              </w:rPr>
              <w:t>rozpoznanie przez Sąd Najwyższy oczekuje osiem skarg złożonych przez Rzecznika, pięć skarg zostało już uwzględnionych – zob. postanowienia SN z 16 czerwca 2021 r. sygn. I</w:t>
            </w:r>
            <w:r w:rsidR="00C408BD">
              <w:rPr>
                <w:rFonts w:ascii="Times New Roman" w:hAnsi="Times New Roman" w:cs="Times New Roman"/>
                <w:sz w:val="20"/>
                <w:szCs w:val="20"/>
              </w:rPr>
              <w:t xml:space="preserve"> </w:t>
            </w:r>
            <w:proofErr w:type="spellStart"/>
            <w:r w:rsidRPr="00C408BD">
              <w:rPr>
                <w:rFonts w:ascii="Times New Roman" w:hAnsi="Times New Roman" w:cs="Times New Roman"/>
                <w:sz w:val="20"/>
                <w:szCs w:val="20"/>
              </w:rPr>
              <w:t>NSNc</w:t>
            </w:r>
            <w:proofErr w:type="spellEnd"/>
            <w:r w:rsidRPr="00C408BD">
              <w:rPr>
                <w:rFonts w:ascii="Times New Roman" w:hAnsi="Times New Roman" w:cs="Times New Roman"/>
                <w:sz w:val="20"/>
                <w:szCs w:val="20"/>
              </w:rPr>
              <w:t xml:space="preserve"> 164/20, Lex nr 3190965, z 24 lutego 2021 r. sygn. I </w:t>
            </w:r>
            <w:proofErr w:type="spellStart"/>
            <w:r w:rsidRPr="00C408BD">
              <w:rPr>
                <w:rFonts w:ascii="Times New Roman" w:hAnsi="Times New Roman" w:cs="Times New Roman"/>
                <w:sz w:val="20"/>
                <w:szCs w:val="20"/>
              </w:rPr>
              <w:t>NSNc</w:t>
            </w:r>
            <w:proofErr w:type="spellEnd"/>
            <w:r w:rsidRPr="00C408BD">
              <w:rPr>
                <w:rFonts w:ascii="Times New Roman" w:hAnsi="Times New Roman" w:cs="Times New Roman"/>
                <w:sz w:val="20"/>
                <w:szCs w:val="20"/>
              </w:rPr>
              <w:t xml:space="preserve"> 132/20, Lex nr 3123152, z</w:t>
            </w:r>
            <w:r w:rsidR="00C408BD">
              <w:rPr>
                <w:rFonts w:ascii="Times New Roman" w:hAnsi="Times New Roman" w:cs="Times New Roman"/>
                <w:sz w:val="20"/>
                <w:szCs w:val="20"/>
              </w:rPr>
              <w:t xml:space="preserve"> </w:t>
            </w:r>
            <w:r w:rsidRPr="00C408BD">
              <w:rPr>
                <w:rFonts w:ascii="Times New Roman" w:hAnsi="Times New Roman" w:cs="Times New Roman"/>
                <w:sz w:val="20"/>
                <w:szCs w:val="20"/>
              </w:rPr>
              <w:t xml:space="preserve">2 grudnia 2020 r. sygn. I </w:t>
            </w:r>
            <w:proofErr w:type="spellStart"/>
            <w:r w:rsidRPr="00C408BD">
              <w:rPr>
                <w:rFonts w:ascii="Times New Roman" w:hAnsi="Times New Roman" w:cs="Times New Roman"/>
                <w:sz w:val="20"/>
                <w:szCs w:val="20"/>
              </w:rPr>
              <w:t>NSNc</w:t>
            </w:r>
            <w:proofErr w:type="spellEnd"/>
            <w:r w:rsidRPr="00C408BD">
              <w:rPr>
                <w:rFonts w:ascii="Times New Roman" w:hAnsi="Times New Roman" w:cs="Times New Roman"/>
                <w:sz w:val="20"/>
                <w:szCs w:val="20"/>
              </w:rPr>
              <w:t xml:space="preserve"> 102/20, Lex nr 3087051, z 16 lipca 2019 r. sygn. I </w:t>
            </w:r>
            <w:proofErr w:type="spellStart"/>
            <w:r w:rsidRPr="00C408BD">
              <w:rPr>
                <w:rFonts w:ascii="Times New Roman" w:hAnsi="Times New Roman" w:cs="Times New Roman"/>
                <w:sz w:val="20"/>
                <w:szCs w:val="20"/>
              </w:rPr>
              <w:t>NSNc</w:t>
            </w:r>
            <w:proofErr w:type="spellEnd"/>
            <w:r w:rsidR="00C408BD">
              <w:rPr>
                <w:rFonts w:ascii="Times New Roman" w:hAnsi="Times New Roman" w:cs="Times New Roman"/>
                <w:sz w:val="20"/>
                <w:szCs w:val="20"/>
              </w:rPr>
              <w:t xml:space="preserve"> </w:t>
            </w:r>
            <w:r w:rsidRPr="00C408BD">
              <w:rPr>
                <w:rFonts w:ascii="Times New Roman" w:hAnsi="Times New Roman" w:cs="Times New Roman"/>
                <w:sz w:val="20"/>
                <w:szCs w:val="20"/>
              </w:rPr>
              <w:t xml:space="preserve">11/19, Lex </w:t>
            </w:r>
            <w:r w:rsidRPr="00C408BD">
              <w:rPr>
                <w:rFonts w:ascii="Times New Roman" w:hAnsi="Times New Roman" w:cs="Times New Roman"/>
                <w:sz w:val="20"/>
                <w:szCs w:val="20"/>
              </w:rPr>
              <w:lastRenderedPageBreak/>
              <w:t xml:space="preserve">nr 2713328 oraz z 26 marca 2019 r. sygn. I </w:t>
            </w:r>
            <w:proofErr w:type="spellStart"/>
            <w:r w:rsidRPr="00C408BD">
              <w:rPr>
                <w:rFonts w:ascii="Times New Roman" w:hAnsi="Times New Roman" w:cs="Times New Roman"/>
                <w:sz w:val="20"/>
                <w:szCs w:val="20"/>
              </w:rPr>
              <w:t>NSNc</w:t>
            </w:r>
            <w:proofErr w:type="spellEnd"/>
            <w:r w:rsidRPr="00C408BD">
              <w:rPr>
                <w:rFonts w:ascii="Times New Roman" w:hAnsi="Times New Roman" w:cs="Times New Roman"/>
                <w:sz w:val="20"/>
                <w:szCs w:val="20"/>
              </w:rPr>
              <w:t xml:space="preserve"> 1/19, Lex nr 2643286.</w:t>
            </w:r>
          </w:p>
          <w:p w14:paraId="4CEC51C1" w14:textId="25C236A3" w:rsidR="008D7600" w:rsidRPr="00C408BD" w:rsidRDefault="008D7600" w:rsidP="00C408BD">
            <w:pPr>
              <w:autoSpaceDE w:val="0"/>
              <w:autoSpaceDN w:val="0"/>
              <w:adjustRightInd w:val="0"/>
              <w:jc w:val="both"/>
              <w:rPr>
                <w:rFonts w:ascii="Times New Roman" w:hAnsi="Times New Roman" w:cs="Times New Roman"/>
                <w:sz w:val="20"/>
                <w:szCs w:val="20"/>
              </w:rPr>
            </w:pPr>
            <w:r w:rsidRPr="00C408BD">
              <w:rPr>
                <w:rFonts w:ascii="Times New Roman" w:hAnsi="Times New Roman" w:cs="Times New Roman"/>
                <w:sz w:val="20"/>
                <w:szCs w:val="20"/>
              </w:rPr>
              <w:t>W przywołanych orzeczeniach Sąd Najwyższy nie miał wątpliwości co do tego, że</w:t>
            </w:r>
            <w:r w:rsidR="00C408BD">
              <w:rPr>
                <w:rFonts w:ascii="Times New Roman" w:hAnsi="Times New Roman" w:cs="Times New Roman"/>
                <w:sz w:val="20"/>
                <w:szCs w:val="20"/>
              </w:rPr>
              <w:t xml:space="preserve"> </w:t>
            </w:r>
            <w:r w:rsidRPr="00C408BD">
              <w:rPr>
                <w:rFonts w:ascii="Times New Roman" w:hAnsi="Times New Roman" w:cs="Times New Roman"/>
                <w:sz w:val="20"/>
                <w:szCs w:val="20"/>
              </w:rPr>
              <w:t>współwystępowanie w obrocie prawnym dwóch postanowień sądu, stwierdzających nabycie</w:t>
            </w:r>
            <w:r w:rsidR="00C408BD">
              <w:rPr>
                <w:rFonts w:ascii="Times New Roman" w:hAnsi="Times New Roman" w:cs="Times New Roman"/>
                <w:sz w:val="20"/>
                <w:szCs w:val="20"/>
              </w:rPr>
              <w:t xml:space="preserve"> </w:t>
            </w:r>
            <w:r w:rsidRPr="00C408BD">
              <w:rPr>
                <w:rFonts w:ascii="Times New Roman" w:hAnsi="Times New Roman" w:cs="Times New Roman"/>
                <w:sz w:val="20"/>
                <w:szCs w:val="20"/>
              </w:rPr>
              <w:t>spadku po tej samej osobie, rażąco godzi w konstytucyjną zasadę demokratycznego państwa</w:t>
            </w:r>
            <w:r w:rsidR="00C408BD">
              <w:rPr>
                <w:rFonts w:ascii="Times New Roman" w:hAnsi="Times New Roman" w:cs="Times New Roman"/>
                <w:sz w:val="20"/>
                <w:szCs w:val="20"/>
              </w:rPr>
              <w:t xml:space="preserve"> </w:t>
            </w:r>
            <w:r w:rsidRPr="00C408BD">
              <w:rPr>
                <w:rFonts w:ascii="Times New Roman" w:hAnsi="Times New Roman" w:cs="Times New Roman"/>
                <w:sz w:val="20"/>
                <w:szCs w:val="20"/>
              </w:rPr>
              <w:t>prawnego urzeczywistniającego zasady sprawiedliwości społecznej, a także w zasady z niej</w:t>
            </w:r>
            <w:r w:rsidR="00C408BD">
              <w:rPr>
                <w:rFonts w:ascii="Times New Roman" w:hAnsi="Times New Roman" w:cs="Times New Roman"/>
                <w:sz w:val="20"/>
                <w:szCs w:val="20"/>
              </w:rPr>
              <w:t xml:space="preserve"> </w:t>
            </w:r>
            <w:r w:rsidRPr="00C408BD">
              <w:rPr>
                <w:rFonts w:ascii="Times New Roman" w:hAnsi="Times New Roman" w:cs="Times New Roman"/>
                <w:sz w:val="20"/>
                <w:szCs w:val="20"/>
              </w:rPr>
              <w:t>wynikające, to jest: zasadę zaufania do państwa i bezpieczeństwa prawnego. Poza tym Sąd</w:t>
            </w:r>
            <w:r w:rsidR="00FE3A17">
              <w:rPr>
                <w:rFonts w:ascii="Times New Roman" w:hAnsi="Times New Roman" w:cs="Times New Roman"/>
                <w:sz w:val="20"/>
                <w:szCs w:val="20"/>
              </w:rPr>
              <w:t xml:space="preserve"> </w:t>
            </w:r>
            <w:r w:rsidRPr="00C408BD">
              <w:rPr>
                <w:rFonts w:ascii="Times New Roman" w:hAnsi="Times New Roman" w:cs="Times New Roman"/>
                <w:sz w:val="20"/>
                <w:szCs w:val="20"/>
              </w:rPr>
              <w:t>Najwyższy podzielił stanowisko Rzecznika, że w przypadku „podwójnych” postanowień</w:t>
            </w:r>
            <w:r w:rsidR="00C408BD">
              <w:rPr>
                <w:rFonts w:ascii="Times New Roman" w:hAnsi="Times New Roman" w:cs="Times New Roman"/>
                <w:sz w:val="20"/>
                <w:szCs w:val="20"/>
              </w:rPr>
              <w:t xml:space="preserve"> </w:t>
            </w:r>
            <w:r w:rsidRPr="00C408BD">
              <w:rPr>
                <w:rFonts w:ascii="Times New Roman" w:hAnsi="Times New Roman" w:cs="Times New Roman"/>
                <w:sz w:val="20"/>
                <w:szCs w:val="20"/>
              </w:rPr>
              <w:t>spadkowych ochrona prawna gwarantowana na gruncie Konstytucji staje się iluzoryczna,</w:t>
            </w:r>
            <w:r w:rsidR="00C408BD">
              <w:rPr>
                <w:rFonts w:ascii="Times New Roman" w:hAnsi="Times New Roman" w:cs="Times New Roman"/>
                <w:sz w:val="20"/>
                <w:szCs w:val="20"/>
              </w:rPr>
              <w:t xml:space="preserve"> </w:t>
            </w:r>
            <w:r w:rsidRPr="00C408BD">
              <w:rPr>
                <w:rFonts w:ascii="Times New Roman" w:hAnsi="Times New Roman" w:cs="Times New Roman"/>
                <w:sz w:val="20"/>
                <w:szCs w:val="20"/>
              </w:rPr>
              <w:t>albowiem instytucja stwierdzenia nabycia spadku w takiej sytuacji nie może zrealizować</w:t>
            </w:r>
            <w:r w:rsidR="00C408BD">
              <w:rPr>
                <w:rFonts w:ascii="Times New Roman" w:hAnsi="Times New Roman" w:cs="Times New Roman"/>
                <w:sz w:val="20"/>
                <w:szCs w:val="20"/>
              </w:rPr>
              <w:t xml:space="preserve"> </w:t>
            </w:r>
            <w:r w:rsidRPr="00C408BD">
              <w:rPr>
                <w:rFonts w:ascii="Times New Roman" w:hAnsi="Times New Roman" w:cs="Times New Roman"/>
                <w:sz w:val="20"/>
                <w:szCs w:val="20"/>
              </w:rPr>
              <w:t>przypisanych jej systemowo celów. Tym samym naruszone zostaje konstytucyjne prawo do</w:t>
            </w:r>
            <w:r w:rsidR="00C408BD">
              <w:rPr>
                <w:rFonts w:ascii="Times New Roman" w:hAnsi="Times New Roman" w:cs="Times New Roman"/>
                <w:sz w:val="20"/>
                <w:szCs w:val="20"/>
              </w:rPr>
              <w:t xml:space="preserve"> </w:t>
            </w:r>
            <w:r w:rsidRPr="00C408BD">
              <w:rPr>
                <w:rFonts w:ascii="Times New Roman" w:hAnsi="Times New Roman" w:cs="Times New Roman"/>
                <w:sz w:val="20"/>
                <w:szCs w:val="20"/>
              </w:rPr>
              <w:t>dziedziczenia. Poza tym wydanie drugiego postanowienia stwierdzającego nabycie spadku</w:t>
            </w:r>
            <w:r w:rsidR="00C408BD">
              <w:rPr>
                <w:rFonts w:ascii="Times New Roman" w:hAnsi="Times New Roman" w:cs="Times New Roman"/>
                <w:sz w:val="20"/>
                <w:szCs w:val="20"/>
              </w:rPr>
              <w:t xml:space="preserve"> </w:t>
            </w:r>
            <w:r w:rsidRPr="00C408BD">
              <w:rPr>
                <w:rFonts w:ascii="Times New Roman" w:hAnsi="Times New Roman" w:cs="Times New Roman"/>
                <w:sz w:val="20"/>
                <w:szCs w:val="20"/>
              </w:rPr>
              <w:t>po tej samej osobie powoduje, że zainteresowani nie mogą legitymować się jednoznacznym</w:t>
            </w:r>
            <w:r w:rsidR="00C408BD">
              <w:rPr>
                <w:rFonts w:ascii="Times New Roman" w:hAnsi="Times New Roman" w:cs="Times New Roman"/>
                <w:sz w:val="20"/>
                <w:szCs w:val="20"/>
              </w:rPr>
              <w:t xml:space="preserve"> </w:t>
            </w:r>
            <w:r w:rsidRPr="00C408BD">
              <w:rPr>
                <w:rFonts w:ascii="Times New Roman" w:hAnsi="Times New Roman" w:cs="Times New Roman"/>
                <w:sz w:val="20"/>
                <w:szCs w:val="20"/>
              </w:rPr>
              <w:t>potwierdzeniem nabycia uprawnień spadkowych; inaczej mówiąc, nie uzyskują wiążącego</w:t>
            </w:r>
            <w:r w:rsidR="00C408BD">
              <w:rPr>
                <w:rFonts w:ascii="Times New Roman" w:hAnsi="Times New Roman" w:cs="Times New Roman"/>
                <w:sz w:val="20"/>
                <w:szCs w:val="20"/>
              </w:rPr>
              <w:t xml:space="preserve"> </w:t>
            </w:r>
            <w:r w:rsidRPr="00C408BD">
              <w:rPr>
                <w:rFonts w:ascii="Times New Roman" w:hAnsi="Times New Roman" w:cs="Times New Roman"/>
                <w:sz w:val="20"/>
                <w:szCs w:val="20"/>
              </w:rPr>
              <w:t>stanowiska sądu, w czym w sposób oczywisty przejawia się naruszenie konstytucyjnego</w:t>
            </w:r>
            <w:r w:rsidR="00C408BD">
              <w:rPr>
                <w:rFonts w:ascii="Times New Roman" w:hAnsi="Times New Roman" w:cs="Times New Roman"/>
                <w:sz w:val="20"/>
                <w:szCs w:val="20"/>
              </w:rPr>
              <w:t xml:space="preserve"> </w:t>
            </w:r>
            <w:r w:rsidRPr="00C408BD">
              <w:rPr>
                <w:rFonts w:ascii="Times New Roman" w:hAnsi="Times New Roman" w:cs="Times New Roman"/>
                <w:sz w:val="20"/>
                <w:szCs w:val="20"/>
              </w:rPr>
              <w:t>prawa do sądu.</w:t>
            </w:r>
          </w:p>
          <w:p w14:paraId="752CDC8B" w14:textId="483E5959" w:rsidR="008D7600" w:rsidRPr="00C408BD" w:rsidRDefault="008D7600" w:rsidP="00C408BD">
            <w:pPr>
              <w:autoSpaceDE w:val="0"/>
              <w:autoSpaceDN w:val="0"/>
              <w:adjustRightInd w:val="0"/>
              <w:jc w:val="both"/>
              <w:rPr>
                <w:rFonts w:ascii="Times New Roman" w:hAnsi="Times New Roman" w:cs="Times New Roman"/>
                <w:sz w:val="20"/>
                <w:szCs w:val="20"/>
              </w:rPr>
            </w:pPr>
            <w:r w:rsidRPr="00C408BD">
              <w:rPr>
                <w:rFonts w:ascii="Times New Roman" w:hAnsi="Times New Roman" w:cs="Times New Roman"/>
                <w:sz w:val="20"/>
                <w:szCs w:val="20"/>
              </w:rPr>
              <w:t>Jednocześnie trzeba mieć na uwadze, że ani skarga o wznowienie postępowania, ani</w:t>
            </w:r>
            <w:r w:rsidR="004C0492">
              <w:rPr>
                <w:rFonts w:ascii="Times New Roman" w:hAnsi="Times New Roman" w:cs="Times New Roman"/>
                <w:sz w:val="20"/>
                <w:szCs w:val="20"/>
              </w:rPr>
              <w:t xml:space="preserve"> </w:t>
            </w:r>
            <w:r w:rsidRPr="00C408BD">
              <w:rPr>
                <w:rFonts w:ascii="Times New Roman" w:hAnsi="Times New Roman" w:cs="Times New Roman"/>
                <w:sz w:val="20"/>
                <w:szCs w:val="20"/>
              </w:rPr>
              <w:t>też skarga nadzwyczajna, nie stanowią instrumentów służących efektywnemu rozwiązaniu</w:t>
            </w:r>
            <w:r w:rsidR="004C0492">
              <w:rPr>
                <w:rFonts w:ascii="Times New Roman" w:hAnsi="Times New Roman" w:cs="Times New Roman"/>
                <w:sz w:val="20"/>
                <w:szCs w:val="20"/>
              </w:rPr>
              <w:t xml:space="preserve"> </w:t>
            </w:r>
            <w:r w:rsidRPr="00C408BD">
              <w:rPr>
                <w:rFonts w:ascii="Times New Roman" w:hAnsi="Times New Roman" w:cs="Times New Roman"/>
                <w:sz w:val="20"/>
                <w:szCs w:val="20"/>
              </w:rPr>
              <w:t>omawianego problemu. W obu przypadkach ustawodawca zdecydował się na wprowadzenie</w:t>
            </w:r>
            <w:r w:rsidR="004C0492">
              <w:rPr>
                <w:rFonts w:ascii="Times New Roman" w:hAnsi="Times New Roman" w:cs="Times New Roman"/>
                <w:sz w:val="20"/>
                <w:szCs w:val="20"/>
              </w:rPr>
              <w:t xml:space="preserve"> </w:t>
            </w:r>
            <w:r w:rsidRPr="00C408BD">
              <w:rPr>
                <w:rFonts w:ascii="Times New Roman" w:hAnsi="Times New Roman" w:cs="Times New Roman"/>
                <w:sz w:val="20"/>
                <w:szCs w:val="20"/>
              </w:rPr>
              <w:t>sztywnej bariery czasowej: według art. 408 k.p.c. nie można żądać wznowienia po upływie</w:t>
            </w:r>
            <w:r w:rsidR="004C0492">
              <w:rPr>
                <w:rFonts w:ascii="Times New Roman" w:hAnsi="Times New Roman" w:cs="Times New Roman"/>
                <w:sz w:val="20"/>
                <w:szCs w:val="20"/>
              </w:rPr>
              <w:t xml:space="preserve"> </w:t>
            </w:r>
            <w:r w:rsidRPr="00C408BD">
              <w:rPr>
                <w:rFonts w:ascii="Times New Roman" w:hAnsi="Times New Roman" w:cs="Times New Roman"/>
                <w:sz w:val="20"/>
                <w:szCs w:val="20"/>
              </w:rPr>
              <w:t>lat dziesięciu od dnia uprawomocnienia się orzeczenia (za wyjątkiem przypadku, gdy strona</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była pozbawiona możności działania lub nie była należycie reprezentowana), a zgodnie z</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 xml:space="preserve">art. 89 § 3 </w:t>
            </w:r>
            <w:proofErr w:type="spellStart"/>
            <w:r w:rsidRPr="00C408BD">
              <w:rPr>
                <w:rFonts w:ascii="Times New Roman" w:hAnsi="Times New Roman" w:cs="Times New Roman"/>
                <w:sz w:val="20"/>
                <w:szCs w:val="20"/>
              </w:rPr>
              <w:t>u.s.n</w:t>
            </w:r>
            <w:proofErr w:type="spellEnd"/>
            <w:r w:rsidRPr="00C408BD">
              <w:rPr>
                <w:rFonts w:ascii="Times New Roman" w:hAnsi="Times New Roman" w:cs="Times New Roman"/>
                <w:sz w:val="20"/>
                <w:szCs w:val="20"/>
              </w:rPr>
              <w:t>. skargę nadzwyczajną wnosi się w terminie pięciu lat od uprawomocnienia</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się zaskarżonego orzeczenia; jeżeli zaś od orzeczenia została wniesiona kasacja albo skarga</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kasacyjna – w terminie roku od ich rozpoznania. Co prawda, w przepisach przejściowych</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przewidziana jest możliwość wniesienia skargi nadzwyczajnej od prawomocnych orzeczeń</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kończących postępowanie we wszystkich tych sprawach, które uprawomocniły się po dacie</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17 października 1997 r. Niemniej jednak, możliwość ta upływa z dniem 3 kwietnia 2024 r. –</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 xml:space="preserve">tj. sześć </w:t>
            </w:r>
            <w:r w:rsidRPr="00C408BD">
              <w:rPr>
                <w:rFonts w:ascii="Times New Roman" w:hAnsi="Times New Roman" w:cs="Times New Roman"/>
                <w:sz w:val="20"/>
                <w:szCs w:val="20"/>
              </w:rPr>
              <w:lastRenderedPageBreak/>
              <w:t xml:space="preserve">lat po dniu wejścia w życie ustawy (art. 115 § 1 </w:t>
            </w:r>
            <w:proofErr w:type="spellStart"/>
            <w:r w:rsidRPr="00C408BD">
              <w:rPr>
                <w:rFonts w:ascii="Times New Roman" w:hAnsi="Times New Roman" w:cs="Times New Roman"/>
                <w:sz w:val="20"/>
                <w:szCs w:val="20"/>
              </w:rPr>
              <w:t>u.s.n</w:t>
            </w:r>
            <w:proofErr w:type="spellEnd"/>
            <w:r w:rsidRPr="00C408BD">
              <w:rPr>
                <w:rFonts w:ascii="Times New Roman" w:hAnsi="Times New Roman" w:cs="Times New Roman"/>
                <w:sz w:val="20"/>
                <w:szCs w:val="20"/>
              </w:rPr>
              <w:t>. – po wprowadzeniu ustawy</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nowelizującej z dnia 30 marca 2021 r. - Dz. U. z 2021 poz. 611). Warto przy tym zauważyć,</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że gdyby ustawodawca w ostatniej chwili nie zdecydował się na wydłużenie tego okresu</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przejściowego, posłużenie się skargą nadzwyczajną dla wyeliminowania z obrotu prawnego „podwójnych” postanowień spadkowych, które uprawomocniły się wcześniej, już dziś nie</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byłoby możliwe – początkowo bowiem okres przejściowy upływał z dniem 3 kwietnia 2021</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roku.</w:t>
            </w:r>
          </w:p>
          <w:p w14:paraId="02861ACF" w14:textId="281DEA1E" w:rsidR="008D7600" w:rsidRPr="00C408BD" w:rsidRDefault="008D7600" w:rsidP="00C408BD">
            <w:pPr>
              <w:autoSpaceDE w:val="0"/>
              <w:autoSpaceDN w:val="0"/>
              <w:adjustRightInd w:val="0"/>
              <w:jc w:val="both"/>
              <w:rPr>
                <w:rFonts w:ascii="Times New Roman" w:hAnsi="Times New Roman" w:cs="Times New Roman"/>
                <w:sz w:val="20"/>
                <w:szCs w:val="20"/>
              </w:rPr>
            </w:pPr>
            <w:r w:rsidRPr="00C408BD">
              <w:rPr>
                <w:rFonts w:ascii="Times New Roman" w:hAnsi="Times New Roman" w:cs="Times New Roman"/>
                <w:sz w:val="20"/>
                <w:szCs w:val="20"/>
              </w:rPr>
              <w:t>Ponadto, wracając do argumentacji przedstawionej w wystąpieniu z dnia 1 lipca 2020</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roku, nie bez znaczenia jest fakt, że na gruncie przepisów o skardze nadzwyczajnej osoba</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dotknięta omawianą wadliwością znajduje się w stanie niepewności, gdyż ustawodawca nie</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wyposażył jej w zdolność postulacyjną w zakresie wniesienia skargi. Zgodnie z art. 115 §</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 xml:space="preserve">1a </w:t>
            </w:r>
            <w:proofErr w:type="spellStart"/>
            <w:r w:rsidRPr="00C408BD">
              <w:rPr>
                <w:rFonts w:ascii="Times New Roman" w:hAnsi="Times New Roman" w:cs="Times New Roman"/>
                <w:sz w:val="20"/>
                <w:szCs w:val="20"/>
              </w:rPr>
              <w:t>u.s.n</w:t>
            </w:r>
            <w:proofErr w:type="spellEnd"/>
            <w:r w:rsidRPr="00C408BD">
              <w:rPr>
                <w:rFonts w:ascii="Times New Roman" w:hAnsi="Times New Roman" w:cs="Times New Roman"/>
                <w:sz w:val="20"/>
                <w:szCs w:val="20"/>
              </w:rPr>
              <w:t>. skarga nadzwyczajna od prawomocnego orzeczenia kończącego postępowanie w</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sprawie, które uprawomocniło się przed wejściem w życie niniejszej ustawy, może zostać</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wniesiona jedynie przez Prokuratora Generalnego lub Rzecznika Praw Obywatelskich, przy</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czym zwrócenie się do jednego z tych organów nie daje stronie gwarancji uruchomienia</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przed Sądem Najwyższym procedury zmierzającej do wyeliminowania z obrotu wadliwego</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postanowienia spadkowego. Co więcej, biorąc pod uwagę skalę problemu „podwójnych”</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orzeczeń spadkowych, skarga nadzwyczajna nie wydaje się być instrumentem właściwym</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do jego rozwiązania, skoro wolą ustawodawcy było ukształtowanie skargi jako środka</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zaskarżenia o charakterze szczególnym, służącym w sytuacjach zupełnie wyjątkowych, jak</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sama jej nazwa wskazuje – nadzwyczajnych.</w:t>
            </w:r>
          </w:p>
          <w:p w14:paraId="28EA1506" w14:textId="5063FEBF" w:rsidR="008D7600" w:rsidRPr="00C408BD" w:rsidRDefault="008D7600" w:rsidP="00C408BD">
            <w:pPr>
              <w:autoSpaceDE w:val="0"/>
              <w:autoSpaceDN w:val="0"/>
              <w:adjustRightInd w:val="0"/>
              <w:jc w:val="both"/>
              <w:rPr>
                <w:rFonts w:ascii="Times New Roman" w:hAnsi="Times New Roman" w:cs="Times New Roman"/>
                <w:sz w:val="20"/>
                <w:szCs w:val="20"/>
              </w:rPr>
            </w:pPr>
            <w:r w:rsidRPr="00C408BD">
              <w:rPr>
                <w:rFonts w:ascii="Times New Roman" w:hAnsi="Times New Roman" w:cs="Times New Roman"/>
                <w:sz w:val="20"/>
                <w:szCs w:val="20"/>
              </w:rPr>
              <w:t>Niestety na kompleksowe rozwiązanie omawianego problemu nie pozwoliło również</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wprowadzenie rejestru spadkowego. Do Biura Rzecznika wciąż wpływają wnioski z prośbą</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o pomoc w uporządkowaniu tych spraw spadkowych, których rejestr nie obejmuje. Należy</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mieć bowiem na uwadze, że obowiązek rejestrowania postanowień spadkowych dotyczy</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wyłącznie tych, które zostały wydane przez sądy po dniu 8 września 2016 r. (zob. ustawa z</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dnia 10 lipca 2015 r. o zmianie ustawy - Kodeks cywilny, ustawy – Kodeks postępowania</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cywilnego oraz niektórych innych ustaw - Dz. U. poz. 1311 z późn. zm. oraz ustawa z dnia</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 xml:space="preserve">22 lipca </w:t>
            </w:r>
            <w:r w:rsidRPr="00C408BD">
              <w:rPr>
                <w:rFonts w:ascii="Times New Roman" w:hAnsi="Times New Roman" w:cs="Times New Roman"/>
                <w:sz w:val="20"/>
                <w:szCs w:val="20"/>
              </w:rPr>
              <w:lastRenderedPageBreak/>
              <w:t>2016 r. o zmianie ustawy - Kodeks postępowania cywilnego, ustawy - Prawo o</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notariacie oraz ustawy o zmianie ustawy - kodeks cywilny, ustawy - Kodeks postępowania</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cywilnego oraz niektórych innych ustaw - Dz. U. poz. 1358). A zatem rejestr spadkowy nie</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mógł doprowadzić do wyeliminowania problemu „podwójnych” postanowień spadkowych,</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wydanych przed 8 września 2016 r. – w tym zakresie problem wciąż pozostaje aktualny.</w:t>
            </w:r>
          </w:p>
          <w:p w14:paraId="380F6F06" w14:textId="1F46D32C" w:rsidR="008D7600" w:rsidRPr="00C408BD" w:rsidRDefault="008D7600" w:rsidP="00C408BD">
            <w:pPr>
              <w:autoSpaceDE w:val="0"/>
              <w:autoSpaceDN w:val="0"/>
              <w:adjustRightInd w:val="0"/>
              <w:jc w:val="both"/>
              <w:rPr>
                <w:rFonts w:ascii="Times New Roman" w:hAnsi="Times New Roman" w:cs="Times New Roman"/>
                <w:sz w:val="20"/>
                <w:szCs w:val="20"/>
              </w:rPr>
            </w:pPr>
            <w:r w:rsidRPr="00C408BD">
              <w:rPr>
                <w:rFonts w:ascii="Times New Roman" w:hAnsi="Times New Roman" w:cs="Times New Roman"/>
                <w:sz w:val="20"/>
                <w:szCs w:val="20"/>
              </w:rPr>
              <w:t>Warto również podkreślić, że wnioski dotyczące omawianej kwestii nierzadko są</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kierowane do Rzecznika przez same sądy, które – dysponując różnymi postanowieniami</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spadkowymi po tej samej osobie – nie mogą samodzielnie rozstrzygnąć zawisłej przed nimi</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sprawy np. o dział spadku lub o dokonanie wpisu w księdze wieczystej. W takich sytuacjach sądy stają przed nierozwiązywalnym problemem, np. jak ustalić udział w spadku czy we</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współwłasności nieruchomości wchodzącej w skład masy spadkowej.</w:t>
            </w:r>
          </w:p>
          <w:p w14:paraId="7189B555" w14:textId="29643007" w:rsidR="008D7600" w:rsidRPr="00C408BD" w:rsidRDefault="008D7600" w:rsidP="00C408BD">
            <w:pPr>
              <w:autoSpaceDE w:val="0"/>
              <w:autoSpaceDN w:val="0"/>
              <w:adjustRightInd w:val="0"/>
              <w:jc w:val="both"/>
              <w:rPr>
                <w:rFonts w:ascii="Times New Roman" w:hAnsi="Times New Roman" w:cs="Times New Roman"/>
                <w:sz w:val="20"/>
                <w:szCs w:val="20"/>
              </w:rPr>
            </w:pPr>
            <w:r w:rsidRPr="00C408BD">
              <w:rPr>
                <w:rFonts w:ascii="Times New Roman" w:hAnsi="Times New Roman" w:cs="Times New Roman"/>
                <w:sz w:val="20"/>
                <w:szCs w:val="20"/>
              </w:rPr>
              <w:t>Reasumując, w przekonaniu Rzecznika skala i charakter przedstawionego problemu</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wymagają podjęcia odpowiednich działań legislacyjnych. Ilość wniosków wpływających do</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Biura Rzecznika na przełomie ostatnich kilkunastu lat, jak również fakt kierowania ich nie</w:t>
            </w:r>
            <w:r w:rsidR="008065E7">
              <w:rPr>
                <w:rFonts w:ascii="Times New Roman" w:hAnsi="Times New Roman" w:cs="Times New Roman"/>
                <w:sz w:val="20"/>
                <w:szCs w:val="20"/>
              </w:rPr>
              <w:t xml:space="preserve"> </w:t>
            </w:r>
            <w:r w:rsidRPr="00C408BD">
              <w:rPr>
                <w:rFonts w:ascii="Times New Roman" w:hAnsi="Times New Roman" w:cs="Times New Roman"/>
                <w:sz w:val="20"/>
                <w:szCs w:val="20"/>
              </w:rPr>
              <w:t>tylko przez osoby będące spadkobiercami, bezpośrednio zainteresowanymi w sprawie, ale</w:t>
            </w:r>
            <w:r w:rsidR="00E41725">
              <w:rPr>
                <w:rFonts w:ascii="Times New Roman" w:hAnsi="Times New Roman" w:cs="Times New Roman"/>
                <w:sz w:val="20"/>
                <w:szCs w:val="20"/>
              </w:rPr>
              <w:t xml:space="preserve"> </w:t>
            </w:r>
            <w:r w:rsidRPr="00C408BD">
              <w:rPr>
                <w:rFonts w:ascii="Times New Roman" w:hAnsi="Times New Roman" w:cs="Times New Roman"/>
                <w:sz w:val="20"/>
                <w:szCs w:val="20"/>
              </w:rPr>
              <w:t>też osoby trzecie, a nawet same sądy, niewątpliwie świadczą o tym, że poruszany problem</w:t>
            </w:r>
            <w:r w:rsidR="00E41725">
              <w:rPr>
                <w:rFonts w:ascii="Times New Roman" w:hAnsi="Times New Roman" w:cs="Times New Roman"/>
                <w:sz w:val="20"/>
                <w:szCs w:val="20"/>
              </w:rPr>
              <w:t xml:space="preserve"> </w:t>
            </w:r>
            <w:r w:rsidRPr="00C408BD">
              <w:rPr>
                <w:rFonts w:ascii="Times New Roman" w:hAnsi="Times New Roman" w:cs="Times New Roman"/>
                <w:sz w:val="20"/>
                <w:szCs w:val="20"/>
              </w:rPr>
              <w:t>nie ma charakteru indywidualnego, ale wyraźnie wpływa na kwestię porządku publicznego i</w:t>
            </w:r>
            <w:r w:rsidR="00E41725">
              <w:rPr>
                <w:rFonts w:ascii="Times New Roman" w:hAnsi="Times New Roman" w:cs="Times New Roman"/>
                <w:sz w:val="20"/>
                <w:szCs w:val="20"/>
              </w:rPr>
              <w:t xml:space="preserve"> </w:t>
            </w:r>
            <w:r w:rsidRPr="00C408BD">
              <w:rPr>
                <w:rFonts w:ascii="Times New Roman" w:hAnsi="Times New Roman" w:cs="Times New Roman"/>
                <w:sz w:val="20"/>
                <w:szCs w:val="20"/>
              </w:rPr>
              <w:t>bezpieczeństwa prawnego.</w:t>
            </w:r>
            <w:r w:rsidR="00E41725">
              <w:rPr>
                <w:rFonts w:ascii="Times New Roman" w:hAnsi="Times New Roman" w:cs="Times New Roman"/>
                <w:sz w:val="20"/>
                <w:szCs w:val="20"/>
              </w:rPr>
              <w:t xml:space="preserve"> </w:t>
            </w:r>
            <w:r w:rsidRPr="00C408BD">
              <w:rPr>
                <w:rFonts w:ascii="Times New Roman" w:hAnsi="Times New Roman" w:cs="Times New Roman"/>
                <w:sz w:val="20"/>
                <w:szCs w:val="20"/>
              </w:rPr>
              <w:t>Trzeba mieć bowiem na uwadze, że postanowienie spadkowe</w:t>
            </w:r>
            <w:r w:rsidR="00E41725">
              <w:rPr>
                <w:rFonts w:ascii="Times New Roman" w:hAnsi="Times New Roman" w:cs="Times New Roman"/>
                <w:sz w:val="20"/>
                <w:szCs w:val="20"/>
              </w:rPr>
              <w:t xml:space="preserve"> </w:t>
            </w:r>
            <w:r w:rsidRPr="00C408BD">
              <w:rPr>
                <w:rFonts w:ascii="Times New Roman" w:hAnsi="Times New Roman" w:cs="Times New Roman"/>
                <w:sz w:val="20"/>
                <w:szCs w:val="20"/>
              </w:rPr>
              <w:t xml:space="preserve">jest skuteczne </w:t>
            </w:r>
            <w:r w:rsidRPr="00C408BD">
              <w:rPr>
                <w:rFonts w:ascii="Times New Roman" w:hAnsi="Times New Roman" w:cs="Times New Roman"/>
                <w:i/>
                <w:iCs/>
                <w:sz w:val="20"/>
                <w:szCs w:val="20"/>
              </w:rPr>
              <w:t xml:space="preserve">erga </w:t>
            </w:r>
            <w:proofErr w:type="spellStart"/>
            <w:r w:rsidRPr="00C408BD">
              <w:rPr>
                <w:rFonts w:ascii="Times New Roman" w:hAnsi="Times New Roman" w:cs="Times New Roman"/>
                <w:i/>
                <w:iCs/>
                <w:sz w:val="20"/>
                <w:szCs w:val="20"/>
              </w:rPr>
              <w:t>omnes</w:t>
            </w:r>
            <w:proofErr w:type="spellEnd"/>
            <w:r w:rsidRPr="00C408BD">
              <w:rPr>
                <w:rFonts w:ascii="Times New Roman" w:hAnsi="Times New Roman" w:cs="Times New Roman"/>
                <w:i/>
                <w:iCs/>
                <w:sz w:val="20"/>
                <w:szCs w:val="20"/>
              </w:rPr>
              <w:t xml:space="preserve"> </w:t>
            </w:r>
            <w:r w:rsidRPr="00C408BD">
              <w:rPr>
                <w:rFonts w:ascii="Times New Roman" w:hAnsi="Times New Roman" w:cs="Times New Roman"/>
                <w:sz w:val="20"/>
                <w:szCs w:val="20"/>
              </w:rPr>
              <w:t>i zgodnie z art. 1027 k.c. stanowi wyłączny dowód nabycia praw</w:t>
            </w:r>
            <w:r w:rsidR="00E41725">
              <w:rPr>
                <w:rFonts w:ascii="Times New Roman" w:hAnsi="Times New Roman" w:cs="Times New Roman"/>
                <w:sz w:val="20"/>
                <w:szCs w:val="20"/>
              </w:rPr>
              <w:t xml:space="preserve"> </w:t>
            </w:r>
            <w:r w:rsidRPr="00C408BD">
              <w:rPr>
                <w:rFonts w:ascii="Times New Roman" w:hAnsi="Times New Roman" w:cs="Times New Roman"/>
                <w:sz w:val="20"/>
                <w:szCs w:val="20"/>
              </w:rPr>
              <w:t>do spadku wobec osoby trzeciej, która nie rości sobie praw do spadku z tytułu dziedziczenia</w:t>
            </w:r>
            <w:r w:rsidR="00E41725">
              <w:rPr>
                <w:rFonts w:ascii="Times New Roman" w:hAnsi="Times New Roman" w:cs="Times New Roman"/>
                <w:sz w:val="20"/>
                <w:szCs w:val="20"/>
              </w:rPr>
              <w:t xml:space="preserve"> </w:t>
            </w:r>
            <w:r w:rsidRPr="00C408BD">
              <w:rPr>
                <w:rFonts w:ascii="Times New Roman" w:hAnsi="Times New Roman" w:cs="Times New Roman"/>
                <w:sz w:val="20"/>
                <w:szCs w:val="20"/>
              </w:rPr>
              <w:t>(oczywiście obok zarejestrowanego aktu poświadczenia dziedziczenia). W związku z tym</w:t>
            </w:r>
            <w:r w:rsidR="00E41725">
              <w:rPr>
                <w:rFonts w:ascii="Times New Roman" w:hAnsi="Times New Roman" w:cs="Times New Roman"/>
                <w:sz w:val="20"/>
                <w:szCs w:val="20"/>
              </w:rPr>
              <w:t xml:space="preserve"> </w:t>
            </w:r>
            <w:r w:rsidRPr="00C408BD">
              <w:rPr>
                <w:rFonts w:ascii="Times New Roman" w:hAnsi="Times New Roman" w:cs="Times New Roman"/>
                <w:sz w:val="20"/>
                <w:szCs w:val="20"/>
              </w:rPr>
              <w:t>współwystępowanie w obrocie dwóch postanowień spadkowych dotyczących tego samego</w:t>
            </w:r>
            <w:r w:rsidR="00E41725">
              <w:rPr>
                <w:rFonts w:ascii="Times New Roman" w:hAnsi="Times New Roman" w:cs="Times New Roman"/>
                <w:sz w:val="20"/>
                <w:szCs w:val="20"/>
              </w:rPr>
              <w:t xml:space="preserve"> </w:t>
            </w:r>
            <w:r w:rsidRPr="00C408BD">
              <w:rPr>
                <w:rFonts w:ascii="Times New Roman" w:hAnsi="Times New Roman" w:cs="Times New Roman"/>
                <w:sz w:val="20"/>
                <w:szCs w:val="20"/>
              </w:rPr>
              <w:t>spadkodawcy stwarza poważne zagrożenie dla wszystkich uczestników obrotu, zwłaszcza w</w:t>
            </w:r>
            <w:r w:rsidR="00E41725">
              <w:rPr>
                <w:rFonts w:ascii="Times New Roman" w:hAnsi="Times New Roman" w:cs="Times New Roman"/>
                <w:sz w:val="20"/>
                <w:szCs w:val="20"/>
              </w:rPr>
              <w:t xml:space="preserve"> </w:t>
            </w:r>
            <w:r w:rsidRPr="00C408BD">
              <w:rPr>
                <w:rFonts w:ascii="Times New Roman" w:hAnsi="Times New Roman" w:cs="Times New Roman"/>
                <w:sz w:val="20"/>
                <w:szCs w:val="20"/>
              </w:rPr>
              <w:t>sprawach dotyczących nieruchomości czy też innych obejmowanych rejestrami publicznymi</w:t>
            </w:r>
            <w:r w:rsidR="00E41725">
              <w:rPr>
                <w:rFonts w:ascii="Times New Roman" w:hAnsi="Times New Roman" w:cs="Times New Roman"/>
                <w:sz w:val="20"/>
                <w:szCs w:val="20"/>
              </w:rPr>
              <w:t xml:space="preserve"> </w:t>
            </w:r>
            <w:r w:rsidRPr="00C408BD">
              <w:rPr>
                <w:rFonts w:ascii="Times New Roman" w:hAnsi="Times New Roman" w:cs="Times New Roman"/>
                <w:sz w:val="20"/>
                <w:szCs w:val="20"/>
              </w:rPr>
              <w:t>o kwalifikowanej wiarygodności, jak choćby księgi wieczyste. Niewątpliwie zatem organy</w:t>
            </w:r>
            <w:r w:rsidR="00E41725">
              <w:rPr>
                <w:rFonts w:ascii="Times New Roman" w:hAnsi="Times New Roman" w:cs="Times New Roman"/>
                <w:sz w:val="20"/>
                <w:szCs w:val="20"/>
              </w:rPr>
              <w:t xml:space="preserve"> </w:t>
            </w:r>
            <w:r w:rsidRPr="00C408BD">
              <w:rPr>
                <w:rFonts w:ascii="Times New Roman" w:hAnsi="Times New Roman" w:cs="Times New Roman"/>
                <w:sz w:val="20"/>
                <w:szCs w:val="20"/>
              </w:rPr>
              <w:t xml:space="preserve">państwa powinny podjąć właściwe działania, zmierzające do </w:t>
            </w:r>
            <w:r w:rsidRPr="00C408BD">
              <w:rPr>
                <w:rFonts w:ascii="Times New Roman" w:hAnsi="Times New Roman" w:cs="Times New Roman"/>
                <w:sz w:val="20"/>
                <w:szCs w:val="20"/>
              </w:rPr>
              <w:lastRenderedPageBreak/>
              <w:t>kompleksowego rozwiązania</w:t>
            </w:r>
            <w:r w:rsidR="00E41725">
              <w:rPr>
                <w:rFonts w:ascii="Times New Roman" w:hAnsi="Times New Roman" w:cs="Times New Roman"/>
                <w:sz w:val="20"/>
                <w:szCs w:val="20"/>
              </w:rPr>
              <w:t xml:space="preserve"> </w:t>
            </w:r>
            <w:r w:rsidRPr="00C408BD">
              <w:rPr>
                <w:rFonts w:ascii="Times New Roman" w:hAnsi="Times New Roman" w:cs="Times New Roman"/>
                <w:sz w:val="20"/>
                <w:szCs w:val="20"/>
              </w:rPr>
              <w:t>problemu „podwójnych” postanowień spadkowych.</w:t>
            </w:r>
          </w:p>
          <w:p w14:paraId="1373F99A" w14:textId="37B6290B" w:rsidR="008D7600" w:rsidRPr="00C408BD" w:rsidRDefault="008D7600" w:rsidP="00C408BD">
            <w:pPr>
              <w:autoSpaceDE w:val="0"/>
              <w:autoSpaceDN w:val="0"/>
              <w:adjustRightInd w:val="0"/>
              <w:jc w:val="both"/>
              <w:rPr>
                <w:rFonts w:ascii="Times New Roman" w:hAnsi="Times New Roman" w:cs="Times New Roman"/>
                <w:sz w:val="20"/>
                <w:szCs w:val="20"/>
              </w:rPr>
            </w:pPr>
            <w:r w:rsidRPr="00C408BD">
              <w:rPr>
                <w:rFonts w:ascii="Times New Roman" w:hAnsi="Times New Roman" w:cs="Times New Roman"/>
                <w:sz w:val="20"/>
                <w:szCs w:val="20"/>
              </w:rPr>
              <w:t>Przywołany na wstępie projekt ustawy o zmianie ustawy – Kodeks cywilny oraz</w:t>
            </w:r>
            <w:r w:rsidR="00E41725">
              <w:rPr>
                <w:rFonts w:ascii="Times New Roman" w:hAnsi="Times New Roman" w:cs="Times New Roman"/>
                <w:sz w:val="20"/>
                <w:szCs w:val="20"/>
              </w:rPr>
              <w:t xml:space="preserve"> </w:t>
            </w:r>
            <w:r w:rsidRPr="00C408BD">
              <w:rPr>
                <w:rFonts w:ascii="Times New Roman" w:hAnsi="Times New Roman" w:cs="Times New Roman"/>
                <w:sz w:val="20"/>
                <w:szCs w:val="20"/>
              </w:rPr>
              <w:t>niektórych innych ustaw, przygotowany przez Ministerstwo Sprawiedliwości (nr UD 222),</w:t>
            </w:r>
            <w:r w:rsidR="00E41725">
              <w:rPr>
                <w:rFonts w:ascii="Times New Roman" w:hAnsi="Times New Roman" w:cs="Times New Roman"/>
                <w:sz w:val="20"/>
                <w:szCs w:val="20"/>
              </w:rPr>
              <w:t xml:space="preserve"> </w:t>
            </w:r>
            <w:r w:rsidRPr="00C408BD">
              <w:rPr>
                <w:rFonts w:ascii="Times New Roman" w:hAnsi="Times New Roman" w:cs="Times New Roman"/>
                <w:sz w:val="20"/>
                <w:szCs w:val="20"/>
              </w:rPr>
              <w:t>przewiduje szereg wyjątkowo istotnych zmian w prawie spadkowym i proceduralnym, jak</w:t>
            </w:r>
            <w:r w:rsidR="00E41725">
              <w:rPr>
                <w:rFonts w:ascii="Times New Roman" w:hAnsi="Times New Roman" w:cs="Times New Roman"/>
                <w:sz w:val="20"/>
                <w:szCs w:val="20"/>
              </w:rPr>
              <w:t xml:space="preserve"> </w:t>
            </w:r>
            <w:r w:rsidRPr="00C408BD">
              <w:rPr>
                <w:rFonts w:ascii="Times New Roman" w:hAnsi="Times New Roman" w:cs="Times New Roman"/>
                <w:sz w:val="20"/>
                <w:szCs w:val="20"/>
              </w:rPr>
              <w:t>m.in.: zmiana zasady dziedziczenia w przypadku, gdy którekolwiek z dziadków</w:t>
            </w:r>
            <w:r w:rsidR="00E41725">
              <w:rPr>
                <w:rFonts w:ascii="Times New Roman" w:hAnsi="Times New Roman" w:cs="Times New Roman"/>
                <w:sz w:val="20"/>
                <w:szCs w:val="20"/>
              </w:rPr>
              <w:t xml:space="preserve"> </w:t>
            </w:r>
            <w:r w:rsidRPr="00C408BD">
              <w:rPr>
                <w:rFonts w:ascii="Times New Roman" w:hAnsi="Times New Roman" w:cs="Times New Roman"/>
                <w:sz w:val="20"/>
                <w:szCs w:val="20"/>
              </w:rPr>
              <w:t>spadkodawcy nie dożyje otwarcia spadku; obowiązek zawarcia w sentencji postanowienia</w:t>
            </w:r>
            <w:r w:rsidR="00E41725">
              <w:rPr>
                <w:rFonts w:ascii="Times New Roman" w:hAnsi="Times New Roman" w:cs="Times New Roman"/>
                <w:sz w:val="20"/>
                <w:szCs w:val="20"/>
              </w:rPr>
              <w:t xml:space="preserve"> </w:t>
            </w:r>
            <w:r w:rsidRPr="00C408BD">
              <w:rPr>
                <w:rFonts w:ascii="Times New Roman" w:hAnsi="Times New Roman" w:cs="Times New Roman"/>
                <w:sz w:val="20"/>
                <w:szCs w:val="20"/>
              </w:rPr>
              <w:t>spadkowego określenia, w jaki sposób spadek został przyjęty; ograniczenie</w:t>
            </w:r>
            <w:r w:rsidR="00E41725">
              <w:rPr>
                <w:rFonts w:ascii="Times New Roman" w:hAnsi="Times New Roman" w:cs="Times New Roman"/>
                <w:sz w:val="20"/>
                <w:szCs w:val="20"/>
              </w:rPr>
              <w:t xml:space="preserve"> </w:t>
            </w:r>
            <w:r w:rsidRPr="00C408BD">
              <w:rPr>
                <w:rFonts w:ascii="Times New Roman" w:hAnsi="Times New Roman" w:cs="Times New Roman"/>
                <w:sz w:val="20"/>
                <w:szCs w:val="20"/>
              </w:rPr>
              <w:t>odpowiedzialności za długi spadkowe Skarbu Państwa i gminy, którym spadek przypadnie z</w:t>
            </w:r>
            <w:r w:rsidR="00E41725">
              <w:rPr>
                <w:rFonts w:ascii="Times New Roman" w:hAnsi="Times New Roman" w:cs="Times New Roman"/>
                <w:sz w:val="20"/>
                <w:szCs w:val="20"/>
              </w:rPr>
              <w:t xml:space="preserve"> </w:t>
            </w:r>
            <w:r w:rsidRPr="00C408BD">
              <w:rPr>
                <w:rFonts w:ascii="Times New Roman" w:hAnsi="Times New Roman" w:cs="Times New Roman"/>
                <w:sz w:val="20"/>
                <w:szCs w:val="20"/>
              </w:rPr>
              <w:t>mocy ustawy; zawieszenie biegu terminu z art. 1015 § 1 k.c. do złożenia oświadczenia o</w:t>
            </w:r>
            <w:r w:rsidR="00E41725">
              <w:rPr>
                <w:rFonts w:ascii="Times New Roman" w:hAnsi="Times New Roman" w:cs="Times New Roman"/>
                <w:sz w:val="20"/>
                <w:szCs w:val="20"/>
              </w:rPr>
              <w:t xml:space="preserve"> </w:t>
            </w:r>
            <w:r w:rsidRPr="00C408BD">
              <w:rPr>
                <w:rFonts w:ascii="Times New Roman" w:hAnsi="Times New Roman" w:cs="Times New Roman"/>
                <w:sz w:val="20"/>
                <w:szCs w:val="20"/>
              </w:rPr>
              <w:t>przyjęciu lub odrzuceniu spadku na czas trwania postępowania sądowego w przedmiocie</w:t>
            </w:r>
            <w:r w:rsidR="00E41725">
              <w:rPr>
                <w:rFonts w:ascii="Times New Roman" w:hAnsi="Times New Roman" w:cs="Times New Roman"/>
                <w:sz w:val="20"/>
                <w:szCs w:val="20"/>
              </w:rPr>
              <w:t xml:space="preserve"> </w:t>
            </w:r>
            <w:r w:rsidRPr="00C408BD">
              <w:rPr>
                <w:rFonts w:ascii="Times New Roman" w:hAnsi="Times New Roman" w:cs="Times New Roman"/>
                <w:sz w:val="20"/>
                <w:szCs w:val="20"/>
              </w:rPr>
              <w:t>zezwolenia na dokonanie czynności przekraczającej zakres zwykłego zarządu majątkiem</w:t>
            </w:r>
            <w:r w:rsidR="00E41725">
              <w:rPr>
                <w:rFonts w:ascii="Times New Roman" w:hAnsi="Times New Roman" w:cs="Times New Roman"/>
                <w:sz w:val="20"/>
                <w:szCs w:val="20"/>
              </w:rPr>
              <w:t xml:space="preserve"> </w:t>
            </w:r>
            <w:r w:rsidRPr="00C408BD">
              <w:rPr>
                <w:rFonts w:ascii="Times New Roman" w:hAnsi="Times New Roman" w:cs="Times New Roman"/>
                <w:sz w:val="20"/>
                <w:szCs w:val="20"/>
              </w:rPr>
              <w:t>dziecka czy dodanie nowej przesłanki niegodności dziedziczenia w postaci uporczywego</w:t>
            </w:r>
            <w:r w:rsidR="00E41725">
              <w:rPr>
                <w:rFonts w:ascii="Times New Roman" w:hAnsi="Times New Roman" w:cs="Times New Roman"/>
                <w:sz w:val="20"/>
                <w:szCs w:val="20"/>
              </w:rPr>
              <w:t xml:space="preserve"> </w:t>
            </w:r>
            <w:r w:rsidRPr="00C408BD">
              <w:rPr>
                <w:rFonts w:ascii="Times New Roman" w:hAnsi="Times New Roman" w:cs="Times New Roman"/>
                <w:sz w:val="20"/>
                <w:szCs w:val="20"/>
              </w:rPr>
              <w:t>niewykonywania obowiązku alimentacyjnego wobec spadkodawcy bądź też uporczywego</w:t>
            </w:r>
            <w:r w:rsidR="00E41725">
              <w:rPr>
                <w:rFonts w:ascii="Times New Roman" w:hAnsi="Times New Roman" w:cs="Times New Roman"/>
                <w:sz w:val="20"/>
                <w:szCs w:val="20"/>
              </w:rPr>
              <w:t xml:space="preserve"> </w:t>
            </w:r>
            <w:r w:rsidRPr="00C408BD">
              <w:rPr>
                <w:rFonts w:ascii="Times New Roman" w:hAnsi="Times New Roman" w:cs="Times New Roman"/>
                <w:sz w:val="20"/>
                <w:szCs w:val="20"/>
              </w:rPr>
              <w:t>uchylania się od sprawowania opieki nad spadkodawcą. Projektowane zmiany co do zasady</w:t>
            </w:r>
            <w:r w:rsidR="00E41725">
              <w:rPr>
                <w:rFonts w:ascii="Times New Roman" w:hAnsi="Times New Roman" w:cs="Times New Roman"/>
                <w:sz w:val="20"/>
                <w:szCs w:val="20"/>
              </w:rPr>
              <w:t xml:space="preserve"> </w:t>
            </w:r>
            <w:r w:rsidRPr="00C408BD">
              <w:rPr>
                <w:rFonts w:ascii="Times New Roman" w:hAnsi="Times New Roman" w:cs="Times New Roman"/>
                <w:sz w:val="20"/>
                <w:szCs w:val="20"/>
              </w:rPr>
              <w:t>zasługują na uznanie. Jednak mając na uwadze gruntowny charakter nowelizacji, dotyczącej</w:t>
            </w:r>
            <w:r w:rsidR="00E41725">
              <w:rPr>
                <w:rFonts w:ascii="Times New Roman" w:hAnsi="Times New Roman" w:cs="Times New Roman"/>
                <w:sz w:val="20"/>
                <w:szCs w:val="20"/>
              </w:rPr>
              <w:t xml:space="preserve"> </w:t>
            </w:r>
            <w:r w:rsidRPr="00C408BD">
              <w:rPr>
                <w:rFonts w:ascii="Times New Roman" w:hAnsi="Times New Roman" w:cs="Times New Roman"/>
                <w:sz w:val="20"/>
                <w:szCs w:val="20"/>
              </w:rPr>
              <w:t>w istocie fundamentalnych zasad prawa spadkowego, jak również procedury cywilnej,</w:t>
            </w:r>
            <w:r w:rsidR="00E41725">
              <w:rPr>
                <w:rFonts w:ascii="Times New Roman" w:hAnsi="Times New Roman" w:cs="Times New Roman"/>
                <w:sz w:val="20"/>
                <w:szCs w:val="20"/>
              </w:rPr>
              <w:t xml:space="preserve"> </w:t>
            </w:r>
            <w:r w:rsidRPr="00C408BD">
              <w:rPr>
                <w:rFonts w:ascii="Times New Roman" w:hAnsi="Times New Roman" w:cs="Times New Roman"/>
                <w:sz w:val="20"/>
                <w:szCs w:val="20"/>
              </w:rPr>
              <w:t>uprzejmie proszę o informację, czy przy okazji prowadzonych prac legislacyjnych Ministerstwo Sprawiedliwości rozważało rozwiązanie problemu „podwójnych”</w:t>
            </w:r>
            <w:r w:rsidR="00E41725">
              <w:rPr>
                <w:rFonts w:ascii="Times New Roman" w:hAnsi="Times New Roman" w:cs="Times New Roman"/>
                <w:sz w:val="20"/>
                <w:szCs w:val="20"/>
              </w:rPr>
              <w:t xml:space="preserve"> </w:t>
            </w:r>
            <w:r w:rsidRPr="00C408BD">
              <w:rPr>
                <w:rFonts w:ascii="Times New Roman" w:hAnsi="Times New Roman" w:cs="Times New Roman"/>
                <w:sz w:val="20"/>
                <w:szCs w:val="20"/>
              </w:rPr>
              <w:t>postanowień spadkowych – zgłaszanego od wielu już lat, tak istotnego z punktu widzenia</w:t>
            </w:r>
            <w:r w:rsidR="00E41725">
              <w:rPr>
                <w:rFonts w:ascii="Times New Roman" w:hAnsi="Times New Roman" w:cs="Times New Roman"/>
                <w:sz w:val="20"/>
                <w:szCs w:val="20"/>
              </w:rPr>
              <w:t xml:space="preserve"> </w:t>
            </w:r>
            <w:r w:rsidRPr="00C408BD">
              <w:rPr>
                <w:rFonts w:ascii="Times New Roman" w:hAnsi="Times New Roman" w:cs="Times New Roman"/>
                <w:sz w:val="20"/>
                <w:szCs w:val="20"/>
              </w:rPr>
              <w:t>praw i zasad konstytucyjnych.</w:t>
            </w:r>
          </w:p>
          <w:p w14:paraId="22A1292F" w14:textId="57EA290E" w:rsidR="003E5D74" w:rsidRPr="00C408BD" w:rsidRDefault="008D7600" w:rsidP="00E41725">
            <w:pPr>
              <w:autoSpaceDE w:val="0"/>
              <w:autoSpaceDN w:val="0"/>
              <w:adjustRightInd w:val="0"/>
              <w:jc w:val="both"/>
              <w:rPr>
                <w:rFonts w:ascii="Times New Roman" w:hAnsi="Times New Roman" w:cs="Times New Roman"/>
                <w:sz w:val="20"/>
                <w:szCs w:val="20"/>
              </w:rPr>
            </w:pPr>
            <w:r w:rsidRPr="00C408BD">
              <w:rPr>
                <w:rFonts w:ascii="Times New Roman" w:hAnsi="Times New Roman" w:cs="Times New Roman"/>
                <w:sz w:val="20"/>
                <w:szCs w:val="20"/>
              </w:rPr>
              <w:t>Powyższe uwagi przekazuję Panu Ministrowi na podstawie art. 16 ust. 2 pkt 1 ustawy</w:t>
            </w:r>
            <w:r w:rsidR="00E41725">
              <w:rPr>
                <w:rFonts w:ascii="Times New Roman" w:hAnsi="Times New Roman" w:cs="Times New Roman"/>
                <w:sz w:val="20"/>
                <w:szCs w:val="20"/>
              </w:rPr>
              <w:t xml:space="preserve"> </w:t>
            </w:r>
            <w:r w:rsidRPr="00C408BD">
              <w:rPr>
                <w:rFonts w:ascii="Times New Roman" w:hAnsi="Times New Roman" w:cs="Times New Roman"/>
                <w:sz w:val="20"/>
                <w:szCs w:val="20"/>
              </w:rPr>
              <w:t>z dnia 15 lipca 1987 r. o Rzeczniku Praw Obywatelskich (tekst jedn. Dz. U. z 2020 r., poz.</w:t>
            </w:r>
            <w:r w:rsidR="00E41725">
              <w:rPr>
                <w:rFonts w:ascii="Times New Roman" w:hAnsi="Times New Roman" w:cs="Times New Roman"/>
                <w:sz w:val="20"/>
                <w:szCs w:val="20"/>
              </w:rPr>
              <w:t xml:space="preserve"> </w:t>
            </w:r>
            <w:r w:rsidRPr="00C408BD">
              <w:rPr>
                <w:rFonts w:ascii="Times New Roman" w:hAnsi="Times New Roman" w:cs="Times New Roman"/>
                <w:sz w:val="20"/>
                <w:szCs w:val="20"/>
              </w:rPr>
              <w:t>627 z późn. zm.), z uprzejmą prośbą o uwzględnienie ich w toku prowadzonych aktualnie</w:t>
            </w:r>
            <w:r w:rsidR="00E41725">
              <w:rPr>
                <w:rFonts w:ascii="Times New Roman" w:hAnsi="Times New Roman" w:cs="Times New Roman"/>
                <w:sz w:val="20"/>
                <w:szCs w:val="20"/>
              </w:rPr>
              <w:t xml:space="preserve"> </w:t>
            </w:r>
            <w:r w:rsidRPr="00C408BD">
              <w:rPr>
                <w:rFonts w:ascii="Times New Roman" w:hAnsi="Times New Roman" w:cs="Times New Roman"/>
                <w:sz w:val="20"/>
                <w:szCs w:val="20"/>
              </w:rPr>
              <w:t>prac legislacyjnych oraz poinformowanie Rzecznika o zajętym stanowisku.</w:t>
            </w:r>
          </w:p>
        </w:tc>
        <w:tc>
          <w:tcPr>
            <w:tcW w:w="4056" w:type="dxa"/>
          </w:tcPr>
          <w:p w14:paraId="5918BBD0" w14:textId="0E2E7CB9" w:rsidR="000F2A3F" w:rsidRDefault="000F2A3F" w:rsidP="000F2A3F">
            <w:pPr>
              <w:autoSpaceDE w:val="0"/>
              <w:autoSpaceDN w:val="0"/>
              <w:adjustRightInd w:val="0"/>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lastRenderedPageBreak/>
              <w:t>Uwaga informacyjna</w:t>
            </w:r>
          </w:p>
          <w:p w14:paraId="28737ED4" w14:textId="77777777" w:rsidR="00393C8B" w:rsidRPr="000F2A3F" w:rsidRDefault="00393C8B" w:rsidP="000F2A3F">
            <w:pPr>
              <w:autoSpaceDE w:val="0"/>
              <w:autoSpaceDN w:val="0"/>
              <w:adjustRightInd w:val="0"/>
              <w:rPr>
                <w:rFonts w:ascii="Times New Roman" w:eastAsia="Times New Roman" w:hAnsi="Times New Roman" w:cs="Times New Roman"/>
                <w:b/>
                <w:bCs/>
                <w:sz w:val="20"/>
                <w:szCs w:val="20"/>
                <w:lang w:eastAsia="pl-PL"/>
              </w:rPr>
            </w:pPr>
          </w:p>
          <w:p w14:paraId="6CA6A3C0" w14:textId="7116ED04" w:rsidR="003462B1" w:rsidRDefault="001237C3" w:rsidP="001237C3">
            <w:pPr>
              <w:spacing w:after="120"/>
              <w:jc w:val="both"/>
              <w:rPr>
                <w:rFonts w:ascii="Times New Roman" w:hAnsi="Times New Roman" w:cs="Times New Roman"/>
                <w:sz w:val="20"/>
                <w:szCs w:val="20"/>
              </w:rPr>
            </w:pPr>
            <w:r>
              <w:rPr>
                <w:rFonts w:ascii="Times New Roman" w:hAnsi="Times New Roman" w:cs="Times New Roman"/>
                <w:sz w:val="20"/>
                <w:szCs w:val="20"/>
              </w:rPr>
              <w:t>W</w:t>
            </w:r>
            <w:r w:rsidR="007C0526" w:rsidRPr="001237C3">
              <w:rPr>
                <w:rFonts w:ascii="Times New Roman" w:hAnsi="Times New Roman" w:cs="Times New Roman"/>
                <w:sz w:val="20"/>
                <w:szCs w:val="20"/>
              </w:rPr>
              <w:t xml:space="preserve"> Departamencie Legislacyjnym Prawa Cywilnego</w:t>
            </w:r>
            <w:r>
              <w:rPr>
                <w:rFonts w:ascii="Times New Roman" w:hAnsi="Times New Roman" w:cs="Times New Roman"/>
                <w:sz w:val="20"/>
                <w:szCs w:val="20"/>
              </w:rPr>
              <w:t xml:space="preserve"> </w:t>
            </w:r>
            <w:r w:rsidR="007C0526" w:rsidRPr="001237C3">
              <w:rPr>
                <w:rFonts w:ascii="Times New Roman" w:hAnsi="Times New Roman" w:cs="Times New Roman"/>
                <w:sz w:val="20"/>
                <w:szCs w:val="20"/>
              </w:rPr>
              <w:t>w Ministerstwie Sprawiedliwości podjęte zostały prace analityczno - koncepcyjne w kierunku znalezienia ewentualnych rozwiązań legislacyjnych likwidujących poruszony w wystąpieniu problem. W prace zaangażowano wszystkie komórki organizacyjne Ministerstwa, w których kompetencjach pozostają (w różnym zakresie) kwestie związane z organizacją sądownictwa, a która to współpraca może przyczynić się do wprowadzenia najbardziej efektywnego rozwiązania. Pismem z dnia 5 stycznia 2022 r. zwrócono się także o stanowisko w przedmiocie analizowanej problematyki do Prokuratury Krajowej. Poruszony przez Rzecznika problem wymaga dalszych analiz, w ramach których rozważane jest zasięgnięcie opinii prawnej połączonej z badaniami aktowymi celem dokładnego zidentyfikowania problemu, jego zakresu i charakteru, aby ewentualnie wprowadzone rozwiązania legislacyjne były adekwatne do rzeczywistych potrzeb obrotu prawnego.</w:t>
            </w:r>
          </w:p>
          <w:p w14:paraId="1ED46DDF" w14:textId="54EF7F86" w:rsidR="00160BD7" w:rsidRDefault="00B510A0" w:rsidP="001237C3">
            <w:pPr>
              <w:spacing w:after="120"/>
              <w:jc w:val="both"/>
              <w:rPr>
                <w:rFonts w:ascii="Times New Roman" w:hAnsi="Times New Roman" w:cs="Times New Roman"/>
                <w:sz w:val="20"/>
                <w:szCs w:val="20"/>
              </w:rPr>
            </w:pPr>
            <w:r w:rsidRPr="003D3285">
              <w:rPr>
                <w:rFonts w:ascii="Times New Roman" w:hAnsi="Times New Roman" w:cs="Times New Roman"/>
                <w:sz w:val="20"/>
                <w:szCs w:val="20"/>
              </w:rPr>
              <w:t xml:space="preserve">Jednocześnie uprzejmie wskazuję, że po uprzednim wystąpieniu Rzecznika do Ministerstwa Sprawiedliwości (z dnia 1 lipca 2020 r.), zwrócono się do prezesów sądów o informację dotyczącą praktyki w zakresie ustalania, czy po spadkodawcy, którego dotyczy wniosek, toczyło się już postępowanie </w:t>
            </w:r>
            <w:r w:rsidRPr="003D3285">
              <w:rPr>
                <w:rFonts w:ascii="Times New Roman" w:hAnsi="Times New Roman" w:cs="Times New Roman"/>
                <w:sz w:val="20"/>
                <w:szCs w:val="20"/>
              </w:rPr>
              <w:lastRenderedPageBreak/>
              <w:t>spadkowe. Efektem kwerendy było zmodyfikowanie brzmienia § 148 Zarządzenia Ministra Sprawiedliwości z dnia 19 czerwca 2019 r. w sprawie organizacji i zakresu działania sekretariatów sądowych oraz innych działów administracji sądowej (Dz.U. poz. 138 ze zm.), poprzez wprowadzenie obowiązku ustalania przez kierownika sekretariatu albo wyznaczonego pracownika w oparciu o właściwe urządzenie ewidencyjne lub Rejestr Spadkowy, czy zarejestrowano uprzednio sprawy z zakresu prawa spadkowego po tym samym spadkodawcy i dołączania akt tych spraw do nowego wniosku. Pomiędzy wejściem w życie wskazanego przepisu (30 listopada 2020 r.) a pismem RPO (27 grudnia 2021 r.) upłynął rok. Biorąc pod uwagę długość trwania postępowań oraz to, że do Rzecznika Praw Obywatelskich wpływają sprawy, w których upłynął trzymiesięczny termin wynikający z art. 407 § 1 ustawy z dnia 17 listopada 1964 r. – Kodeks postępowania cywilnego</w:t>
            </w:r>
            <w:r w:rsidR="00956281">
              <w:t xml:space="preserve"> </w:t>
            </w:r>
            <w:r w:rsidRPr="003D3285">
              <w:rPr>
                <w:rFonts w:ascii="Times New Roman" w:hAnsi="Times New Roman" w:cs="Times New Roman"/>
                <w:sz w:val="20"/>
                <w:szCs w:val="20"/>
              </w:rPr>
              <w:t>wydaje się, że przynajmniej większość spraw, o których mowa w piśmie, rozpoznawana była jeszcze przed wejściem w życie § 148 Zarządzenia.</w:t>
            </w:r>
          </w:p>
          <w:p w14:paraId="1BB5C4AC" w14:textId="02FC2322" w:rsidR="00160BD7" w:rsidRPr="001237C3" w:rsidRDefault="00160BD7" w:rsidP="001237C3">
            <w:pPr>
              <w:spacing w:after="120"/>
              <w:jc w:val="both"/>
              <w:rPr>
                <w:rFonts w:ascii="Times New Roman" w:hAnsi="Times New Roman" w:cs="Times New Roman"/>
                <w:sz w:val="20"/>
                <w:szCs w:val="20"/>
              </w:rPr>
            </w:pPr>
          </w:p>
        </w:tc>
      </w:tr>
      <w:tr w:rsidR="0022526C" w:rsidRPr="00FF4480" w14:paraId="240E7233" w14:textId="77777777" w:rsidTr="00C51680">
        <w:trPr>
          <w:jc w:val="center"/>
        </w:trPr>
        <w:tc>
          <w:tcPr>
            <w:tcW w:w="561" w:type="dxa"/>
          </w:tcPr>
          <w:p w14:paraId="2999F5E8" w14:textId="7F896071" w:rsidR="0022526C" w:rsidRDefault="0022526C" w:rsidP="00252F32">
            <w:pPr>
              <w:spacing w:before="120"/>
              <w:ind w:right="-534"/>
              <w:rPr>
                <w:rFonts w:ascii="Times New Roman" w:hAnsi="Times New Roman" w:cs="Times New Roman"/>
                <w:b/>
                <w:sz w:val="20"/>
              </w:rPr>
            </w:pPr>
            <w:r>
              <w:rPr>
                <w:rFonts w:ascii="Times New Roman" w:hAnsi="Times New Roman" w:cs="Times New Roman"/>
                <w:b/>
                <w:sz w:val="20"/>
              </w:rPr>
              <w:lastRenderedPageBreak/>
              <w:t>2.</w:t>
            </w:r>
          </w:p>
        </w:tc>
        <w:tc>
          <w:tcPr>
            <w:tcW w:w="1841" w:type="dxa"/>
            <w:vAlign w:val="center"/>
          </w:tcPr>
          <w:p w14:paraId="127B8EB7" w14:textId="52234119" w:rsidR="0022526C" w:rsidRPr="0022526C" w:rsidRDefault="0022526C" w:rsidP="00252F32">
            <w:pPr>
              <w:spacing w:before="120" w:after="120"/>
              <w:jc w:val="center"/>
            </w:pPr>
            <w:r>
              <w:rPr>
                <w:rFonts w:ascii="Times New Roman" w:hAnsi="Times New Roman" w:cs="Times New Roman"/>
                <w:sz w:val="20"/>
              </w:rPr>
              <w:t>Rzecznik Praw Dziecka</w:t>
            </w:r>
          </w:p>
        </w:tc>
        <w:tc>
          <w:tcPr>
            <w:tcW w:w="1883" w:type="dxa"/>
            <w:vAlign w:val="center"/>
          </w:tcPr>
          <w:p w14:paraId="291EB642" w14:textId="77777777" w:rsidR="0022526C" w:rsidRDefault="0022526C" w:rsidP="00252F32">
            <w:pPr>
              <w:spacing w:before="120" w:after="120"/>
              <w:jc w:val="center"/>
              <w:rPr>
                <w:rFonts w:ascii="Times New Roman" w:hAnsi="Times New Roman" w:cs="Times New Roman"/>
                <w:sz w:val="20"/>
              </w:rPr>
            </w:pPr>
          </w:p>
        </w:tc>
        <w:tc>
          <w:tcPr>
            <w:tcW w:w="5653" w:type="dxa"/>
            <w:vAlign w:val="center"/>
          </w:tcPr>
          <w:p w14:paraId="2CD00A93" w14:textId="77777777" w:rsidR="0022526C" w:rsidRPr="00481B0E" w:rsidRDefault="0022526C" w:rsidP="0022526C">
            <w:pPr>
              <w:autoSpaceDE w:val="0"/>
              <w:autoSpaceDN w:val="0"/>
              <w:adjustRightInd w:val="0"/>
              <w:jc w:val="both"/>
              <w:rPr>
                <w:rFonts w:ascii="TimesNewRomanPSMT" w:hAnsi="TimesNewRomanPSMT" w:cs="TimesNewRomanPSMT"/>
                <w:sz w:val="20"/>
                <w:szCs w:val="20"/>
              </w:rPr>
            </w:pPr>
            <w:r w:rsidRPr="00481B0E">
              <w:rPr>
                <w:rFonts w:ascii="TimesNewRomanPSMT" w:hAnsi="TimesNewRomanPSMT" w:cs="TimesNewRomanPSMT"/>
                <w:sz w:val="20"/>
                <w:szCs w:val="20"/>
              </w:rPr>
              <w:t>W odpowiedzi na pismo z dnia 16 grudnia 2021 r. (sygn. DLPC-I.414.6.2020), w</w:t>
            </w:r>
            <w:r>
              <w:rPr>
                <w:rFonts w:ascii="TimesNewRomanPSMT" w:hAnsi="TimesNewRomanPSMT" w:cs="TimesNewRomanPSMT"/>
                <w:sz w:val="20"/>
                <w:szCs w:val="20"/>
              </w:rPr>
              <w:t xml:space="preserve"> </w:t>
            </w:r>
            <w:r w:rsidRPr="00481B0E">
              <w:rPr>
                <w:rFonts w:ascii="TimesNewRomanPSMT" w:hAnsi="TimesNewRomanPSMT" w:cs="TimesNewRomanPSMT"/>
                <w:sz w:val="20"/>
                <w:szCs w:val="20"/>
              </w:rPr>
              <w:t>którym przedstawiono projekt ustawy zmianie ustawy – Kodeks cywilny oraz niektórych</w:t>
            </w:r>
            <w:r>
              <w:rPr>
                <w:rFonts w:ascii="TimesNewRomanPSMT" w:hAnsi="TimesNewRomanPSMT" w:cs="TimesNewRomanPSMT"/>
                <w:sz w:val="20"/>
                <w:szCs w:val="20"/>
              </w:rPr>
              <w:t xml:space="preserve"> </w:t>
            </w:r>
            <w:r w:rsidRPr="00481B0E">
              <w:rPr>
                <w:rFonts w:ascii="TimesNewRomanPSMT" w:hAnsi="TimesNewRomanPSMT" w:cs="TimesNewRomanPSMT"/>
                <w:sz w:val="20"/>
                <w:szCs w:val="20"/>
              </w:rPr>
              <w:t>innych ustaw (wpisany do Wykazu prac legislacyjnych i programowych Rady Ministrów pod</w:t>
            </w:r>
          </w:p>
          <w:p w14:paraId="443265DF" w14:textId="77777777" w:rsidR="0022526C" w:rsidRPr="00481B0E" w:rsidRDefault="0022526C" w:rsidP="0022526C">
            <w:pPr>
              <w:autoSpaceDE w:val="0"/>
              <w:autoSpaceDN w:val="0"/>
              <w:adjustRightInd w:val="0"/>
              <w:jc w:val="both"/>
              <w:rPr>
                <w:rFonts w:ascii="TimesNewRomanPSMT" w:hAnsi="TimesNewRomanPSMT" w:cs="TimesNewRomanPSMT"/>
                <w:sz w:val="20"/>
                <w:szCs w:val="20"/>
              </w:rPr>
            </w:pPr>
            <w:r w:rsidRPr="00481B0E">
              <w:rPr>
                <w:rFonts w:ascii="TimesNewRomanPSMT" w:hAnsi="TimesNewRomanPSMT" w:cs="TimesNewRomanPSMT"/>
                <w:sz w:val="20"/>
                <w:szCs w:val="20"/>
              </w:rPr>
              <w:lastRenderedPageBreak/>
              <w:t>numerem UD222) z prośbą o opinię Rzecznika Praw Dziecka, uprzejmie informuję, że</w:t>
            </w:r>
            <w:r>
              <w:rPr>
                <w:rFonts w:ascii="TimesNewRomanPSMT" w:hAnsi="TimesNewRomanPSMT" w:cs="TimesNewRomanPSMT"/>
                <w:sz w:val="20"/>
                <w:szCs w:val="20"/>
              </w:rPr>
              <w:t xml:space="preserve"> </w:t>
            </w:r>
            <w:r w:rsidRPr="00481B0E">
              <w:rPr>
                <w:rFonts w:ascii="TimesNewRomanPSMT" w:hAnsi="TimesNewRomanPSMT" w:cs="TimesNewRomanPSMT"/>
                <w:sz w:val="20"/>
                <w:szCs w:val="20"/>
              </w:rPr>
              <w:t>opiniuję pozytywnie przedstawiony projekt.</w:t>
            </w:r>
          </w:p>
          <w:p w14:paraId="1A42C929" w14:textId="199D61AF" w:rsidR="0022526C" w:rsidRPr="00C408BD" w:rsidRDefault="0022526C" w:rsidP="0022526C">
            <w:pPr>
              <w:autoSpaceDE w:val="0"/>
              <w:autoSpaceDN w:val="0"/>
              <w:adjustRightInd w:val="0"/>
              <w:jc w:val="both"/>
              <w:rPr>
                <w:rFonts w:ascii="Times New Roman" w:hAnsi="Times New Roman" w:cs="Times New Roman"/>
                <w:sz w:val="20"/>
                <w:szCs w:val="20"/>
              </w:rPr>
            </w:pPr>
            <w:r w:rsidRPr="00481B0E">
              <w:rPr>
                <w:rFonts w:ascii="TimesNewRomanPSMT" w:hAnsi="TimesNewRomanPSMT" w:cs="TimesNewRomanPSMT"/>
                <w:sz w:val="20"/>
                <w:szCs w:val="20"/>
              </w:rPr>
              <w:t>Z analizy spraw zgłaszanych do Biura Rzecznika Praw Dziecka wynika, że</w:t>
            </w:r>
            <w:r>
              <w:rPr>
                <w:rFonts w:ascii="TimesNewRomanPSMT" w:hAnsi="TimesNewRomanPSMT" w:cs="TimesNewRomanPSMT"/>
                <w:sz w:val="20"/>
                <w:szCs w:val="20"/>
              </w:rPr>
              <w:t xml:space="preserve"> </w:t>
            </w:r>
            <w:r w:rsidR="00C51680" w:rsidRPr="00481B0E">
              <w:rPr>
                <w:rFonts w:ascii="TimesNewRomanPSMT" w:hAnsi="TimesNewRomanPSMT" w:cs="TimesNewRomanPSMT"/>
                <w:sz w:val="20"/>
                <w:szCs w:val="20"/>
              </w:rPr>
              <w:t>szczególnie</w:t>
            </w:r>
            <w:r w:rsidRPr="00481B0E">
              <w:rPr>
                <w:rFonts w:ascii="TimesNewRomanPSMT" w:hAnsi="TimesNewRomanPSMT" w:cs="TimesNewRomanPSMT"/>
                <w:sz w:val="20"/>
                <w:szCs w:val="20"/>
              </w:rPr>
              <w:t xml:space="preserve"> istotna dla ochrony praw dziecka jest projektowana zmiana w art. 1015 </w:t>
            </w:r>
            <w:proofErr w:type="spellStart"/>
            <w:r w:rsidRPr="00481B0E">
              <w:rPr>
                <w:rFonts w:ascii="TimesNewRomanPSMT" w:hAnsi="TimesNewRomanPSMT" w:cs="TimesNewRomanPSMT"/>
                <w:sz w:val="20"/>
                <w:szCs w:val="20"/>
              </w:rPr>
              <w:t>k.p.c</w:t>
            </w:r>
            <w:proofErr w:type="spellEnd"/>
            <w:r>
              <w:rPr>
                <w:rFonts w:ascii="TimesNewRomanPSMT" w:hAnsi="TimesNewRomanPSMT" w:cs="TimesNewRomanPSMT"/>
                <w:sz w:val="20"/>
                <w:szCs w:val="20"/>
              </w:rPr>
              <w:t xml:space="preserve"> </w:t>
            </w:r>
            <w:r w:rsidRPr="00481B0E">
              <w:rPr>
                <w:rFonts w:ascii="TimesNewRomanPSMT" w:hAnsi="TimesNewRomanPSMT" w:cs="TimesNewRomanPSMT"/>
                <w:sz w:val="20"/>
                <w:szCs w:val="20"/>
              </w:rPr>
              <w:t>pozwalająca na zawieszenie biegu terminu do złożenia oświadczenia o odrzuceniu spadku w</w:t>
            </w:r>
            <w:r>
              <w:rPr>
                <w:rFonts w:ascii="TimesNewRomanPSMT" w:hAnsi="TimesNewRomanPSMT" w:cs="TimesNewRomanPSMT"/>
                <w:sz w:val="20"/>
                <w:szCs w:val="20"/>
              </w:rPr>
              <w:t xml:space="preserve"> </w:t>
            </w:r>
            <w:r w:rsidRPr="00481B0E">
              <w:rPr>
                <w:rFonts w:ascii="TimesNewRomanPSMT" w:hAnsi="TimesNewRomanPSMT" w:cs="TimesNewRomanPSMT"/>
                <w:sz w:val="20"/>
                <w:szCs w:val="20"/>
              </w:rPr>
              <w:t>sytuacji, gdy równocześnie toczy się postępowanie o wyrażenie zgody na złożenie takiego</w:t>
            </w:r>
            <w:r>
              <w:rPr>
                <w:rFonts w:ascii="TimesNewRomanPSMT" w:hAnsi="TimesNewRomanPSMT" w:cs="TimesNewRomanPSMT"/>
                <w:sz w:val="20"/>
                <w:szCs w:val="20"/>
              </w:rPr>
              <w:t xml:space="preserve"> </w:t>
            </w:r>
            <w:r w:rsidRPr="00481B0E">
              <w:rPr>
                <w:rFonts w:ascii="TimesNewRomanPSMT" w:hAnsi="TimesNewRomanPSMT" w:cs="TimesNewRomanPSMT"/>
                <w:sz w:val="20"/>
                <w:szCs w:val="20"/>
              </w:rPr>
              <w:t>oświadczenia przez Sąd. Rzecznik Praw Dziecka wielokrotnie zgłaszał potrzebę tego typu</w:t>
            </w:r>
            <w:r>
              <w:rPr>
                <w:rFonts w:ascii="TimesNewRomanPSMT" w:hAnsi="TimesNewRomanPSMT" w:cs="TimesNewRomanPSMT"/>
                <w:sz w:val="20"/>
                <w:szCs w:val="20"/>
              </w:rPr>
              <w:t xml:space="preserve"> </w:t>
            </w:r>
            <w:r w:rsidRPr="00481B0E">
              <w:rPr>
                <w:rFonts w:ascii="TimesNewRomanPSMT" w:hAnsi="TimesNewRomanPSMT" w:cs="TimesNewRomanPSMT"/>
                <w:sz w:val="20"/>
                <w:szCs w:val="20"/>
              </w:rPr>
              <w:t>regulacji i z tego względu wyraża satysfakcję z realizacji tych postulatów.</w:t>
            </w:r>
          </w:p>
        </w:tc>
        <w:tc>
          <w:tcPr>
            <w:tcW w:w="4056" w:type="dxa"/>
          </w:tcPr>
          <w:p w14:paraId="0F2BF2CE" w14:textId="50B56F26" w:rsidR="0022526C" w:rsidRPr="006C6358" w:rsidRDefault="006C6358" w:rsidP="006C6358">
            <w:pPr>
              <w:spacing w:after="120"/>
              <w:jc w:val="both"/>
              <w:rPr>
                <w:rFonts w:ascii="Times New Roman" w:hAnsi="Times New Roman" w:cs="Times New Roman"/>
                <w:b/>
                <w:bCs/>
                <w:sz w:val="20"/>
              </w:rPr>
            </w:pPr>
            <w:r w:rsidRPr="006C6358">
              <w:rPr>
                <w:rFonts w:ascii="Times New Roman" w:hAnsi="Times New Roman" w:cs="Times New Roman"/>
                <w:b/>
                <w:bCs/>
                <w:sz w:val="20"/>
              </w:rPr>
              <w:lastRenderedPageBreak/>
              <w:t>Uwaga informacyjna</w:t>
            </w:r>
          </w:p>
        </w:tc>
      </w:tr>
      <w:tr w:rsidR="00DC4396" w:rsidRPr="00FF4480" w14:paraId="7FA8581F" w14:textId="77777777" w:rsidTr="00C51680">
        <w:trPr>
          <w:jc w:val="center"/>
        </w:trPr>
        <w:tc>
          <w:tcPr>
            <w:tcW w:w="561" w:type="dxa"/>
          </w:tcPr>
          <w:p w14:paraId="0B4134AC" w14:textId="3C1E3F07" w:rsidR="00DC4396" w:rsidRDefault="00DC4396" w:rsidP="00252F32">
            <w:pPr>
              <w:spacing w:before="120"/>
              <w:ind w:right="-534"/>
              <w:rPr>
                <w:rFonts w:ascii="Times New Roman" w:hAnsi="Times New Roman" w:cs="Times New Roman"/>
                <w:b/>
                <w:sz w:val="20"/>
              </w:rPr>
            </w:pPr>
            <w:r>
              <w:rPr>
                <w:rFonts w:ascii="Times New Roman" w:hAnsi="Times New Roman" w:cs="Times New Roman"/>
                <w:b/>
                <w:sz w:val="20"/>
              </w:rPr>
              <w:t>3.</w:t>
            </w:r>
          </w:p>
        </w:tc>
        <w:tc>
          <w:tcPr>
            <w:tcW w:w="1841" w:type="dxa"/>
            <w:vAlign w:val="center"/>
          </w:tcPr>
          <w:p w14:paraId="5F8E5903" w14:textId="5106526F" w:rsidR="00DC4396" w:rsidRDefault="00DC4396" w:rsidP="00252F32">
            <w:pPr>
              <w:spacing w:before="120" w:after="120"/>
              <w:jc w:val="center"/>
              <w:rPr>
                <w:rFonts w:ascii="Times New Roman" w:hAnsi="Times New Roman" w:cs="Times New Roman"/>
                <w:sz w:val="20"/>
              </w:rPr>
            </w:pPr>
            <w:r>
              <w:rPr>
                <w:rFonts w:ascii="Times New Roman" w:hAnsi="Times New Roman" w:cs="Times New Roman"/>
                <w:sz w:val="20"/>
              </w:rPr>
              <w:t>GUGiK</w:t>
            </w:r>
          </w:p>
        </w:tc>
        <w:tc>
          <w:tcPr>
            <w:tcW w:w="1883" w:type="dxa"/>
            <w:vAlign w:val="center"/>
          </w:tcPr>
          <w:p w14:paraId="72F9C092" w14:textId="77777777" w:rsidR="00DC4396" w:rsidRDefault="00DC4396" w:rsidP="00252F32">
            <w:pPr>
              <w:spacing w:before="120" w:after="120"/>
              <w:jc w:val="center"/>
              <w:rPr>
                <w:rFonts w:ascii="Times New Roman" w:hAnsi="Times New Roman" w:cs="Times New Roman"/>
                <w:sz w:val="20"/>
              </w:rPr>
            </w:pPr>
          </w:p>
        </w:tc>
        <w:tc>
          <w:tcPr>
            <w:tcW w:w="5653" w:type="dxa"/>
            <w:vAlign w:val="center"/>
          </w:tcPr>
          <w:p w14:paraId="5083C5ED" w14:textId="77777777" w:rsidR="006B214C" w:rsidRPr="00515E79" w:rsidRDefault="006B214C" w:rsidP="006B214C">
            <w:pPr>
              <w:autoSpaceDE w:val="0"/>
              <w:autoSpaceDN w:val="0"/>
              <w:adjustRightInd w:val="0"/>
              <w:jc w:val="both"/>
              <w:rPr>
                <w:rFonts w:ascii="TimesNewRomanPSMT" w:hAnsi="TimesNewRomanPSMT" w:cs="TimesNewRomanPSMT"/>
                <w:sz w:val="20"/>
                <w:szCs w:val="20"/>
              </w:rPr>
            </w:pPr>
            <w:r>
              <w:rPr>
                <w:rFonts w:ascii="TimesNewRomanPSMT" w:hAnsi="TimesNewRomanPSMT" w:cs="TimesNewRomanPSMT"/>
                <w:sz w:val="20"/>
                <w:szCs w:val="20"/>
              </w:rPr>
              <w:t>J</w:t>
            </w:r>
            <w:r w:rsidRPr="00515E79">
              <w:rPr>
                <w:rFonts w:ascii="TimesNewRomanPSMT" w:hAnsi="TimesNewRomanPSMT" w:cs="TimesNewRomanPSMT"/>
                <w:sz w:val="20"/>
                <w:szCs w:val="20"/>
              </w:rPr>
              <w:t>ako Główny Geodeta Kraju nie mogę zaakceptować propozycji zawartych</w:t>
            </w:r>
            <w:r>
              <w:rPr>
                <w:rFonts w:ascii="TimesNewRomanPSMT" w:hAnsi="TimesNewRomanPSMT" w:cs="TimesNewRomanPSMT"/>
                <w:sz w:val="20"/>
                <w:szCs w:val="20"/>
              </w:rPr>
              <w:t xml:space="preserve"> </w:t>
            </w:r>
            <w:r w:rsidRPr="00515E79">
              <w:rPr>
                <w:rFonts w:ascii="TimesNewRomanPSMT" w:hAnsi="TimesNewRomanPSMT" w:cs="TimesNewRomanPSMT"/>
                <w:sz w:val="20"/>
                <w:szCs w:val="20"/>
              </w:rPr>
              <w:t>w ww. projekcie dotyczących zwolnienia z opłat za dokumenty z ewidencji gruntów i budynków oraz</w:t>
            </w:r>
            <w:r>
              <w:rPr>
                <w:rFonts w:ascii="TimesNewRomanPSMT" w:hAnsi="TimesNewRomanPSMT" w:cs="TimesNewRomanPSMT"/>
                <w:sz w:val="20"/>
                <w:szCs w:val="20"/>
              </w:rPr>
              <w:t xml:space="preserve"> </w:t>
            </w:r>
            <w:r w:rsidRPr="00515E79">
              <w:rPr>
                <w:rFonts w:ascii="TimesNewRomanPSMT" w:hAnsi="TimesNewRomanPSMT" w:cs="TimesNewRomanPSMT"/>
                <w:sz w:val="20"/>
                <w:szCs w:val="20"/>
              </w:rPr>
              <w:t>uznania dokumentów wytworzonych na potrzeby prowadzonych postępowań sądowych, na podstawie</w:t>
            </w:r>
            <w:r>
              <w:rPr>
                <w:rFonts w:ascii="TimesNewRomanPSMT" w:hAnsi="TimesNewRomanPSMT" w:cs="TimesNewRomanPSMT"/>
                <w:sz w:val="20"/>
                <w:szCs w:val="20"/>
              </w:rPr>
              <w:t xml:space="preserve"> </w:t>
            </w:r>
            <w:r w:rsidRPr="00515E79">
              <w:rPr>
                <w:rFonts w:ascii="TimesNewRomanPSMT" w:hAnsi="TimesNewRomanPSMT" w:cs="TimesNewRomanPSMT"/>
                <w:sz w:val="20"/>
                <w:szCs w:val="20"/>
              </w:rPr>
              <w:t>danych zgromadzonych w rejestrach (…) za dokumenty posiadające moc prawną dokumentów</w:t>
            </w:r>
          </w:p>
          <w:p w14:paraId="6A4CE977" w14:textId="77777777" w:rsidR="006B214C" w:rsidRPr="00515E79" w:rsidRDefault="006B214C" w:rsidP="006B214C">
            <w:pPr>
              <w:autoSpaceDE w:val="0"/>
              <w:autoSpaceDN w:val="0"/>
              <w:adjustRightInd w:val="0"/>
              <w:jc w:val="both"/>
              <w:rPr>
                <w:rFonts w:ascii="TimesNewRomanPSMT" w:hAnsi="TimesNewRomanPSMT" w:cs="TimesNewRomanPSMT"/>
                <w:sz w:val="20"/>
                <w:szCs w:val="20"/>
              </w:rPr>
            </w:pPr>
            <w:r w:rsidRPr="00515E79">
              <w:rPr>
                <w:rFonts w:ascii="TimesNewRomanPSMT" w:hAnsi="TimesNewRomanPSMT" w:cs="TimesNewRomanPSMT"/>
                <w:sz w:val="20"/>
                <w:szCs w:val="20"/>
              </w:rPr>
              <w:t>urzędowych.</w:t>
            </w:r>
          </w:p>
          <w:p w14:paraId="725DA43C" w14:textId="72303128" w:rsidR="006B214C" w:rsidRPr="00481B0E" w:rsidRDefault="006B214C" w:rsidP="006B214C">
            <w:pPr>
              <w:autoSpaceDE w:val="0"/>
              <w:autoSpaceDN w:val="0"/>
              <w:adjustRightInd w:val="0"/>
              <w:jc w:val="both"/>
              <w:rPr>
                <w:rFonts w:ascii="TimesNewRomanPSMT" w:hAnsi="TimesNewRomanPSMT" w:cs="TimesNewRomanPSMT"/>
                <w:sz w:val="20"/>
                <w:szCs w:val="20"/>
              </w:rPr>
            </w:pPr>
            <w:r w:rsidRPr="00515E79">
              <w:rPr>
                <w:rFonts w:ascii="TimesNewRomanPSMT" w:hAnsi="TimesNewRomanPSMT" w:cs="TimesNewRomanPSMT"/>
                <w:sz w:val="20"/>
                <w:szCs w:val="20"/>
              </w:rPr>
              <w:t>W mojej ocenie projekt w takiej postaci może znacznie ograniczyć przychody państwowego zasobu</w:t>
            </w:r>
            <w:r>
              <w:rPr>
                <w:rFonts w:ascii="TimesNewRomanPSMT" w:hAnsi="TimesNewRomanPSMT" w:cs="TimesNewRomanPSMT"/>
                <w:sz w:val="20"/>
                <w:szCs w:val="20"/>
              </w:rPr>
              <w:t xml:space="preserve"> </w:t>
            </w:r>
            <w:r w:rsidRPr="00515E79">
              <w:rPr>
                <w:rFonts w:ascii="TimesNewRomanPSMT" w:hAnsi="TimesNewRomanPSMT" w:cs="TimesNewRomanPSMT"/>
                <w:sz w:val="20"/>
                <w:szCs w:val="20"/>
              </w:rPr>
              <w:t>geodezyjnego i kartograficznego bez wskazania źródła rekompensaty. Szczegółowe uwagi do zapisów</w:t>
            </w:r>
            <w:r>
              <w:rPr>
                <w:rFonts w:ascii="TimesNewRomanPSMT" w:hAnsi="TimesNewRomanPSMT" w:cs="TimesNewRomanPSMT"/>
                <w:sz w:val="20"/>
                <w:szCs w:val="20"/>
              </w:rPr>
              <w:t xml:space="preserve"> </w:t>
            </w:r>
            <w:r w:rsidRPr="00515E79">
              <w:rPr>
                <w:rFonts w:ascii="TimesNewRomanPSMT" w:hAnsi="TimesNewRomanPSMT" w:cs="TimesNewRomanPSMT"/>
                <w:sz w:val="20"/>
                <w:szCs w:val="20"/>
              </w:rPr>
              <w:t>projektu przekazuję w załączeniu.</w:t>
            </w:r>
          </w:p>
        </w:tc>
        <w:tc>
          <w:tcPr>
            <w:tcW w:w="4056" w:type="dxa"/>
          </w:tcPr>
          <w:p w14:paraId="3D691802" w14:textId="71D558A3" w:rsidR="006C6358" w:rsidRDefault="006C6358" w:rsidP="006C6358">
            <w:pPr>
              <w:jc w:val="both"/>
              <w:rPr>
                <w:rFonts w:ascii="Times New Roman" w:eastAsia="Times New Roman" w:hAnsi="Times New Roman" w:cs="Times New Roman"/>
                <w:b/>
                <w:bCs/>
                <w:sz w:val="20"/>
                <w:szCs w:val="20"/>
                <w:lang w:eastAsia="pl-PL"/>
              </w:rPr>
            </w:pPr>
            <w:r w:rsidRPr="00C87548">
              <w:rPr>
                <w:rFonts w:ascii="Times New Roman" w:eastAsia="Times New Roman" w:hAnsi="Times New Roman" w:cs="Times New Roman"/>
                <w:b/>
                <w:bCs/>
                <w:sz w:val="20"/>
                <w:szCs w:val="20"/>
                <w:lang w:eastAsia="pl-PL"/>
              </w:rPr>
              <w:t>Wyjaśnienie</w:t>
            </w:r>
          </w:p>
          <w:p w14:paraId="20B66C50" w14:textId="77777777" w:rsidR="00393C8B" w:rsidRDefault="00393C8B" w:rsidP="006C6358">
            <w:pPr>
              <w:jc w:val="both"/>
              <w:rPr>
                <w:rFonts w:ascii="Times New Roman" w:eastAsia="Times New Roman" w:hAnsi="Times New Roman" w:cs="Times New Roman"/>
                <w:b/>
                <w:bCs/>
                <w:sz w:val="20"/>
                <w:szCs w:val="20"/>
                <w:lang w:eastAsia="pl-PL"/>
              </w:rPr>
            </w:pPr>
          </w:p>
          <w:p w14:paraId="0D72941A" w14:textId="3DDAB9D3" w:rsidR="00DC4396" w:rsidRPr="006B214C" w:rsidRDefault="006C6358" w:rsidP="006B214C">
            <w:pPr>
              <w:pStyle w:val="Default"/>
              <w:jc w:val="both"/>
              <w:rPr>
                <w:sz w:val="20"/>
                <w:szCs w:val="20"/>
              </w:rPr>
            </w:pPr>
            <w:r w:rsidRPr="00F45436">
              <w:rPr>
                <w:sz w:val="20"/>
                <w:szCs w:val="20"/>
              </w:rPr>
              <w:t>Sądy nie będą zwolnione z opłat za pobranie dokumentów w postaci wypisu lub wyrysu z ewidencji gruntów i budynków. Sądy obecnie są zwolnione od tej opłaty jedynie w sytuacji, gdy stroną jest Skarb Państwa. W innych przypadkach opłatę uiszczają. Tej zasady projekt nie zmienia. Sądy będą uiszczały opłatę tak, jak dotychczas. Projekt nie ingeruje w przepisy o opłatach za wydanie wypisu i wyrysu z tego rejestru.</w:t>
            </w:r>
          </w:p>
        </w:tc>
      </w:tr>
      <w:tr w:rsidR="00DC4396" w:rsidRPr="00FF4480" w14:paraId="011572D0" w14:textId="77777777" w:rsidTr="00C51680">
        <w:trPr>
          <w:jc w:val="center"/>
        </w:trPr>
        <w:tc>
          <w:tcPr>
            <w:tcW w:w="561" w:type="dxa"/>
          </w:tcPr>
          <w:p w14:paraId="10BDD06D" w14:textId="4B24B144" w:rsidR="00DC4396" w:rsidRDefault="00DC4396" w:rsidP="00DC4396">
            <w:pPr>
              <w:spacing w:before="120"/>
              <w:ind w:right="-534"/>
              <w:rPr>
                <w:rFonts w:ascii="Times New Roman" w:hAnsi="Times New Roman" w:cs="Times New Roman"/>
                <w:b/>
                <w:sz w:val="20"/>
              </w:rPr>
            </w:pPr>
            <w:r>
              <w:rPr>
                <w:rFonts w:ascii="Times New Roman" w:hAnsi="Times New Roman" w:cs="Times New Roman"/>
                <w:b/>
                <w:sz w:val="20"/>
              </w:rPr>
              <w:t>4.</w:t>
            </w:r>
          </w:p>
        </w:tc>
        <w:tc>
          <w:tcPr>
            <w:tcW w:w="1841" w:type="dxa"/>
            <w:vAlign w:val="center"/>
          </w:tcPr>
          <w:p w14:paraId="7B5A43AC" w14:textId="77777777" w:rsidR="00DC4396" w:rsidRDefault="00DC4396" w:rsidP="00DC4396">
            <w:pPr>
              <w:spacing w:before="120" w:after="120"/>
              <w:jc w:val="center"/>
              <w:rPr>
                <w:rFonts w:ascii="Times New Roman" w:hAnsi="Times New Roman" w:cs="Times New Roman"/>
                <w:sz w:val="20"/>
                <w:szCs w:val="20"/>
              </w:rPr>
            </w:pPr>
            <w:r w:rsidRPr="006D0389">
              <w:rPr>
                <w:rFonts w:ascii="Times New Roman" w:hAnsi="Times New Roman" w:cs="Times New Roman"/>
                <w:sz w:val="20"/>
                <w:szCs w:val="20"/>
              </w:rPr>
              <w:t>Sąd Najwyższy</w:t>
            </w:r>
          </w:p>
          <w:p w14:paraId="5CF1A2BD" w14:textId="50E31226" w:rsidR="00DC4396" w:rsidRDefault="00DC4396" w:rsidP="00DC4396">
            <w:pPr>
              <w:spacing w:before="120" w:after="120"/>
              <w:jc w:val="center"/>
              <w:rPr>
                <w:rFonts w:ascii="Times New Roman" w:hAnsi="Times New Roman" w:cs="Times New Roman"/>
                <w:sz w:val="20"/>
              </w:rPr>
            </w:pPr>
            <w:r>
              <w:rPr>
                <w:rFonts w:ascii="Times New Roman" w:hAnsi="Times New Roman" w:cs="Times New Roman"/>
                <w:sz w:val="20"/>
                <w:szCs w:val="20"/>
              </w:rPr>
              <w:t>BSiA SN</w:t>
            </w:r>
          </w:p>
        </w:tc>
        <w:tc>
          <w:tcPr>
            <w:tcW w:w="1883" w:type="dxa"/>
            <w:vAlign w:val="center"/>
          </w:tcPr>
          <w:p w14:paraId="3CFD0EE4" w14:textId="77777777" w:rsidR="00DC4396" w:rsidRDefault="00DC4396" w:rsidP="00DC4396">
            <w:pPr>
              <w:spacing w:before="120" w:after="120"/>
              <w:jc w:val="center"/>
              <w:rPr>
                <w:rFonts w:ascii="Times New Roman" w:hAnsi="Times New Roman" w:cs="Times New Roman"/>
                <w:sz w:val="20"/>
              </w:rPr>
            </w:pPr>
          </w:p>
        </w:tc>
        <w:tc>
          <w:tcPr>
            <w:tcW w:w="5653" w:type="dxa"/>
            <w:vAlign w:val="center"/>
          </w:tcPr>
          <w:p w14:paraId="53311FB0" w14:textId="27F397FC" w:rsidR="00286D6A" w:rsidRPr="00286D6A" w:rsidRDefault="00DC4396" w:rsidP="00286D6A">
            <w:pPr>
              <w:autoSpaceDE w:val="0"/>
              <w:autoSpaceDN w:val="0"/>
              <w:adjustRightInd w:val="0"/>
              <w:jc w:val="both"/>
              <w:rPr>
                <w:rFonts w:ascii="Times New Roman" w:hAnsi="Times New Roman" w:cs="Times New Roman"/>
                <w:bCs/>
                <w:sz w:val="20"/>
                <w:szCs w:val="20"/>
              </w:rPr>
            </w:pPr>
            <w:r w:rsidRPr="00DC4396">
              <w:rPr>
                <w:rFonts w:ascii="Times New Roman" w:hAnsi="Times New Roman" w:cs="Times New Roman"/>
                <w:sz w:val="20"/>
                <w:szCs w:val="20"/>
              </w:rPr>
              <w:t>Projekt ustawy dotyczy zmian w kilku aktach normatywnych, jednakże głównym jego celem jest dokonanie istotnych modyfikacji przepisów Księgi czwartej kodeksu cywilnego „Spadki”. Społeczna doniosłość tych przepisów wydaje się oczywista, choćby z tej przyczyny, że każda osoba fizyczna, w konsekwencji nieuchronności śmierci, nabywa status spadkodawcy. Rozwiązania prawa spadkowego stosunkowo wolno przenikają do świadomości społecznej. W tym kontekście nie utraciła aktualności teza Andrzeja Stelmachowskiego, że „</w:t>
            </w:r>
            <w:r w:rsidRPr="00DC4396">
              <w:rPr>
                <w:rFonts w:ascii="Times New Roman" w:hAnsi="Times New Roman" w:cs="Times New Roman"/>
                <w:i/>
                <w:sz w:val="20"/>
                <w:szCs w:val="20"/>
              </w:rPr>
              <w:t>prawo cywilne nie może odpowiadać temperamentowi niecierpliwych reformatorów</w:t>
            </w:r>
            <w:r w:rsidRPr="00DC4396">
              <w:rPr>
                <w:rFonts w:ascii="Times New Roman" w:hAnsi="Times New Roman" w:cs="Times New Roman"/>
                <w:sz w:val="20"/>
                <w:szCs w:val="20"/>
              </w:rPr>
              <w:t xml:space="preserve">” (A. Stelmachowski, </w:t>
            </w:r>
            <w:r w:rsidRPr="00DC4396">
              <w:rPr>
                <w:rFonts w:ascii="Times New Roman" w:hAnsi="Times New Roman" w:cs="Times New Roman"/>
                <w:i/>
                <w:sz w:val="20"/>
                <w:szCs w:val="20"/>
              </w:rPr>
              <w:t>Wstęp do teorii prawa cywilnego</w:t>
            </w:r>
            <w:r w:rsidRPr="00DC4396">
              <w:rPr>
                <w:rFonts w:ascii="Times New Roman" w:hAnsi="Times New Roman" w:cs="Times New Roman"/>
                <w:sz w:val="20"/>
                <w:szCs w:val="20"/>
              </w:rPr>
              <w:t xml:space="preserve">, Warszawa 1984, s. 19). Zmiany dotyczące prawa spadkowego zwykle są uzasadnione wtedy, gdy stanowią konsekwencję istotnych zmian społecznych, ekonomicznych, ustrojowych oraz zasad ochrony własności prywatnej i dziedziczenia, szczególnie gdy takie zasady są zagwarantowane w Konstytucji, jak ma to miejsce w </w:t>
            </w:r>
            <w:r w:rsidRPr="00DC4396">
              <w:rPr>
                <w:rFonts w:ascii="Times New Roman" w:hAnsi="Times New Roman" w:cs="Times New Roman"/>
                <w:sz w:val="20"/>
                <w:szCs w:val="20"/>
              </w:rPr>
              <w:lastRenderedPageBreak/>
              <w:t xml:space="preserve">obowiązującym polskim prawie.[zob. przykładowo J. St. Piątowski, (aktualizacja opracowana przez A. Kawałko i H. Witczak), </w:t>
            </w:r>
            <w:r w:rsidRPr="00DC4396">
              <w:rPr>
                <w:rFonts w:ascii="Times New Roman" w:hAnsi="Times New Roman" w:cs="Times New Roman"/>
                <w:i/>
                <w:sz w:val="20"/>
                <w:szCs w:val="20"/>
              </w:rPr>
              <w:t xml:space="preserve">Konstytucyjne założenia polskiego prawa spadkowego </w:t>
            </w:r>
            <w:r w:rsidRPr="00DC4396">
              <w:rPr>
                <w:rFonts w:ascii="Times New Roman" w:hAnsi="Times New Roman" w:cs="Times New Roman"/>
                <w:sz w:val="20"/>
                <w:szCs w:val="20"/>
              </w:rPr>
              <w:t>w</w:t>
            </w:r>
            <w:r w:rsidRPr="00DC4396">
              <w:rPr>
                <w:rFonts w:ascii="Times New Roman" w:hAnsi="Times New Roman" w:cs="Times New Roman"/>
                <w:i/>
                <w:sz w:val="20"/>
                <w:szCs w:val="20"/>
              </w:rPr>
              <w:t xml:space="preserve"> </w:t>
            </w:r>
            <w:r w:rsidRPr="00DC4396">
              <w:rPr>
                <w:rFonts w:ascii="Times New Roman" w:hAnsi="Times New Roman" w:cs="Times New Roman"/>
                <w:sz w:val="20"/>
                <w:szCs w:val="20"/>
              </w:rPr>
              <w:t xml:space="preserve">dziele: </w:t>
            </w:r>
            <w:r w:rsidRPr="00DC4396">
              <w:rPr>
                <w:rFonts w:ascii="Times New Roman" w:hAnsi="Times New Roman" w:cs="Times New Roman"/>
                <w:i/>
                <w:sz w:val="20"/>
                <w:szCs w:val="20"/>
              </w:rPr>
              <w:t>System Prawa Prywatnego</w:t>
            </w:r>
            <w:r w:rsidRPr="00DC4396">
              <w:rPr>
                <w:rFonts w:ascii="Times New Roman" w:hAnsi="Times New Roman" w:cs="Times New Roman"/>
                <w:sz w:val="20"/>
                <w:szCs w:val="20"/>
              </w:rPr>
              <w:t xml:space="preserve">, tom 10 </w:t>
            </w:r>
            <w:r w:rsidRPr="00DC4396">
              <w:rPr>
                <w:rFonts w:ascii="Times New Roman" w:hAnsi="Times New Roman" w:cs="Times New Roman"/>
                <w:i/>
                <w:sz w:val="20"/>
                <w:szCs w:val="20"/>
              </w:rPr>
              <w:t>Prawo spadkowe</w:t>
            </w:r>
            <w:r w:rsidRPr="00DC4396">
              <w:rPr>
                <w:rFonts w:ascii="Times New Roman" w:hAnsi="Times New Roman" w:cs="Times New Roman"/>
                <w:sz w:val="20"/>
                <w:szCs w:val="20"/>
              </w:rPr>
              <w:t xml:space="preserve"> (red. B. Kordasiewicz), Warszawa 2015, s. 52-61</w:t>
            </w:r>
            <w:r w:rsidRPr="00DC4396">
              <w:rPr>
                <w:rFonts w:ascii="Times New Roman" w:hAnsi="Times New Roman" w:cs="Times New Roman"/>
                <w:i/>
                <w:sz w:val="20"/>
                <w:szCs w:val="20"/>
              </w:rPr>
              <w:t xml:space="preserve"> </w:t>
            </w:r>
            <w:r w:rsidRPr="00DC4396">
              <w:rPr>
                <w:rFonts w:ascii="Times New Roman" w:hAnsi="Times New Roman" w:cs="Times New Roman"/>
                <w:sz w:val="20"/>
                <w:szCs w:val="20"/>
              </w:rPr>
              <w:t xml:space="preserve">(§ 5 rozdziału I), K. Kozłowski, </w:t>
            </w:r>
            <w:r w:rsidRPr="00DC4396">
              <w:rPr>
                <w:rFonts w:ascii="Times New Roman" w:hAnsi="Times New Roman" w:cs="Times New Roman"/>
                <w:i/>
                <w:sz w:val="20"/>
                <w:szCs w:val="20"/>
              </w:rPr>
              <w:t>Prawo dziedziczenia w świetle postanowień Konstytucji RP – zarys instytucji</w:t>
            </w:r>
            <w:r w:rsidRPr="00DC4396">
              <w:rPr>
                <w:rFonts w:ascii="Times New Roman" w:hAnsi="Times New Roman" w:cs="Times New Roman"/>
                <w:sz w:val="20"/>
                <w:szCs w:val="20"/>
              </w:rPr>
              <w:t>, Białostockie Studia Prawnicze 2017 vol. 22 nr 4, s. 59-70, H. Zięba-</w:t>
            </w:r>
            <w:proofErr w:type="spellStart"/>
            <w:r w:rsidRPr="00DC4396">
              <w:rPr>
                <w:rFonts w:ascii="Times New Roman" w:hAnsi="Times New Roman" w:cs="Times New Roman"/>
                <w:sz w:val="20"/>
                <w:szCs w:val="20"/>
              </w:rPr>
              <w:t>Załucka</w:t>
            </w:r>
            <w:proofErr w:type="spellEnd"/>
            <w:r w:rsidRPr="00DC4396">
              <w:rPr>
                <w:rFonts w:ascii="Times New Roman" w:hAnsi="Times New Roman" w:cs="Times New Roman"/>
                <w:sz w:val="20"/>
                <w:szCs w:val="20"/>
              </w:rPr>
              <w:t xml:space="preserve">, </w:t>
            </w:r>
            <w:r w:rsidRPr="00DC4396">
              <w:rPr>
                <w:rFonts w:ascii="Times New Roman" w:hAnsi="Times New Roman" w:cs="Times New Roman"/>
                <w:bCs/>
                <w:i/>
                <w:sz w:val="20"/>
                <w:szCs w:val="20"/>
              </w:rPr>
              <w:t xml:space="preserve">Własność i dziedziczenie w polskiej konstytucji z 1997 r. (na tle uregulowań konstytucji wybranych państw), </w:t>
            </w:r>
            <w:r w:rsidRPr="00DC4396">
              <w:rPr>
                <w:rFonts w:ascii="Times New Roman" w:hAnsi="Times New Roman" w:cs="Times New Roman"/>
                <w:bCs/>
                <w:sz w:val="20"/>
                <w:szCs w:val="20"/>
              </w:rPr>
              <w:t>Studia Prawnicze. Rozprawy i Materiały 2019, nr 1 (24), s. 5-20 i powołana w tych opracowaniach literatura].</w:t>
            </w:r>
            <w:r w:rsidRPr="00DC4396">
              <w:rPr>
                <w:rFonts w:ascii="Times New Roman" w:eastAsiaTheme="minorEastAsia" w:hAnsi="Times New Roman" w:cs="Times New Roman"/>
                <w:sz w:val="20"/>
                <w:szCs w:val="20"/>
              </w:rPr>
              <w:t xml:space="preserve"> </w:t>
            </w:r>
            <w:r w:rsidRPr="00DC4396">
              <w:rPr>
                <w:rFonts w:ascii="Times New Roman" w:hAnsi="Times New Roman" w:cs="Times New Roman"/>
                <w:bCs/>
                <w:sz w:val="20"/>
                <w:szCs w:val="20"/>
              </w:rPr>
              <w:t>Trudności z opanowaniem wpływu spraw sądowych nie powinny być traktowane jako przesądzająca przyczyna zmiany stanu prawnego, szczególnie że mogą mieć wiele złożonych przyczyn (w tym organizacyjnych i kadrowych), wśród których treść stosowanego przez sądy prawa nie ma znaczenia dominującego. Nie można też wykluczyć, iż zmienione przepisy mogą także w jakimś zakresie spowodować zwiększenie wpływu spraw związanych z dokonaną zmianą stanu prawnego wprost lub jedynie pośrednio. O ile dane statystyczne wskazują na wysoki wpływ spraw określonego rodzaju, to wydaje się, że w pierwszej kolejności konieczne jest bardzo dokładne zweryfikowanie, czy zastosowane narzędzie za pomocą którego dokonano ustaleń działa precyzyjnie. Badania aktowe wykazały, że nie zawsze tak jest.</w:t>
            </w:r>
            <w:r w:rsidRPr="00DC4396">
              <w:rPr>
                <w:rFonts w:ascii="Times New Roman" w:hAnsi="Times New Roman" w:cs="Times New Roman"/>
                <w:bCs/>
                <w:sz w:val="20"/>
                <w:szCs w:val="20"/>
                <w:vertAlign w:val="superscript"/>
              </w:rPr>
              <w:t>.</w:t>
            </w:r>
            <w:r w:rsidRPr="00DC4396">
              <w:rPr>
                <w:rFonts w:ascii="Times New Roman" w:hAnsi="Times New Roman" w:cs="Times New Roman"/>
                <w:bCs/>
                <w:sz w:val="20"/>
                <w:szCs w:val="20"/>
              </w:rPr>
              <w:t xml:space="preserve">[Przykładowo zob. A. Wiewiórowska-Domagalska, </w:t>
            </w:r>
            <w:r w:rsidRPr="00DC4396">
              <w:rPr>
                <w:rFonts w:ascii="Times New Roman" w:hAnsi="Times New Roman" w:cs="Times New Roman"/>
                <w:bCs/>
                <w:i/>
                <w:sz w:val="20"/>
                <w:szCs w:val="20"/>
              </w:rPr>
              <w:t>Refleksje na tle orzecznictwa sądów powszechnych w zakresie sprzedaży konsumenckiej</w:t>
            </w:r>
            <w:r w:rsidRPr="00DC4396">
              <w:rPr>
                <w:rFonts w:ascii="Times New Roman" w:hAnsi="Times New Roman" w:cs="Times New Roman"/>
                <w:bCs/>
                <w:sz w:val="20"/>
                <w:szCs w:val="20"/>
              </w:rPr>
              <w:t xml:space="preserve">, Warszawa 2014, s. 4, 19-36, </w:t>
            </w:r>
            <w:hyperlink r:id="rId8" w:history="1">
              <w:r w:rsidRPr="00DC4396">
                <w:rPr>
                  <w:rStyle w:val="Hipercze"/>
                  <w:rFonts w:ascii="Times New Roman" w:hAnsi="Times New Roman" w:cs="Times New Roman"/>
                  <w:bCs/>
                  <w:sz w:val="20"/>
                  <w:szCs w:val="20"/>
                </w:rPr>
                <w:t>https://iws.gov.pl/wp-content/uploads/2018/08/IWS_Wiewi%C3%B3rowska-A-_-sprzeda%C5%BCy-konsumenckiej1.pdf</w:t>
              </w:r>
            </w:hyperlink>
            <w:r w:rsidRPr="00DC4396">
              <w:rPr>
                <w:rFonts w:ascii="Times New Roman" w:hAnsi="Times New Roman" w:cs="Times New Roman"/>
                <w:bCs/>
                <w:sz w:val="20"/>
                <w:szCs w:val="20"/>
              </w:rPr>
              <w:t xml:space="preserve"> - dostęp 10.01.2022, M. Domański, </w:t>
            </w:r>
            <w:r w:rsidRPr="00DC4396">
              <w:rPr>
                <w:rFonts w:ascii="Times New Roman" w:hAnsi="Times New Roman" w:cs="Times New Roman"/>
                <w:bCs/>
                <w:i/>
                <w:sz w:val="20"/>
                <w:szCs w:val="20"/>
              </w:rPr>
              <w:t>Wybrane zagadnienia orzekania o umieszczeniu dziecka w pieczy zastępczej</w:t>
            </w:r>
            <w:r w:rsidRPr="00DC4396">
              <w:rPr>
                <w:rFonts w:ascii="Times New Roman" w:hAnsi="Times New Roman" w:cs="Times New Roman"/>
                <w:bCs/>
                <w:sz w:val="20"/>
                <w:szCs w:val="20"/>
              </w:rPr>
              <w:t xml:space="preserve">, Warszawa 2016, s. 5-8, </w:t>
            </w:r>
            <w:hyperlink r:id="rId9" w:history="1">
              <w:r w:rsidRPr="00DC4396">
                <w:rPr>
                  <w:rStyle w:val="Hipercze"/>
                  <w:rFonts w:ascii="Times New Roman" w:hAnsi="Times New Roman" w:cs="Times New Roman"/>
                  <w:bCs/>
                  <w:sz w:val="20"/>
                  <w:szCs w:val="20"/>
                </w:rPr>
                <w:t>https://iws.gov.pl/wp-content/uploads/2018/08/IWS_Doma%C5%84ski-M._Wybrane-zagadnienia-orzekania-o-umieszczeniu-dziecka-w-pieczy-zast%C4%99pczej2.pdf</w:t>
              </w:r>
            </w:hyperlink>
            <w:r w:rsidRPr="00DC4396">
              <w:rPr>
                <w:rFonts w:ascii="Times New Roman" w:hAnsi="Times New Roman" w:cs="Times New Roman"/>
                <w:bCs/>
                <w:sz w:val="20"/>
                <w:szCs w:val="20"/>
              </w:rPr>
              <w:t xml:space="preserve"> dostęp 10.01.2022]. Gdy nie ma narzędzia precyzyjnie ustalającego wpływ określonych spraw, bo nie posiadają one unikalnego symbolu, co obecnie ma miejsce odnośnie do spraw spadkowych z udziałem małoletniego a także spraw o wyrażenie </w:t>
            </w:r>
            <w:r w:rsidRPr="00DC4396">
              <w:rPr>
                <w:rFonts w:ascii="Times New Roman" w:hAnsi="Times New Roman" w:cs="Times New Roman"/>
                <w:bCs/>
                <w:sz w:val="20"/>
                <w:szCs w:val="20"/>
              </w:rPr>
              <w:lastRenderedPageBreak/>
              <w:t xml:space="preserve">zgody na odrzucenie/przyjęcie spadku przez małoletniego, których, miedzy innymi, dotyczy projekt ustawy, to można powziąć wątpliwość czy wymaganie opisania „stanu stosunków społecznych w dziedzinie wymagającej interwencji organów władzy publicznej”, jakie powinno poprzedzać podjęcie decyzji o przygotowaniu projektu ustawy, o którym mowa w § 1 pkt 1 </w:t>
            </w:r>
            <w:r w:rsidRPr="00DC4396">
              <w:rPr>
                <w:rFonts w:ascii="Times New Roman" w:hAnsi="Times New Roman" w:cs="Times New Roman"/>
                <w:bCs/>
                <w:i/>
                <w:sz w:val="20"/>
                <w:szCs w:val="20"/>
              </w:rPr>
              <w:t>Zasad techniki prawodawczej</w:t>
            </w:r>
            <w:r w:rsidRPr="00DC4396">
              <w:rPr>
                <w:rFonts w:ascii="Times New Roman" w:hAnsi="Times New Roman" w:cs="Times New Roman"/>
                <w:bCs/>
                <w:sz w:val="20"/>
                <w:szCs w:val="20"/>
              </w:rPr>
              <w:t xml:space="preserve">, [Obwieszczenie Prezesa Rady Ministrów z dnia 29 lutego 2016 r. w sprawie ogłoszenia jednolitego tekstu rozporządzenia Prezesa Rady Ministrów w sprawie "Zasad techniki prawodawczej", Dz. U. 2016, poz. 283] zostało należycie wykonane, szczególnie wobec stwierdzenia autora projektu, iż „szczegółowa analiza danych, w celu oceny wpływu projektowanych rozwiązań, wymagałaby (..) badania akt co byłoby czasochłonne (..)”. Czasochłonność badania aktowego jest niewątpliwa, jednakże raporty z badania akt sądowych, poza ustaleniami statystycznymi, zwykle zawierają socjologiczno-demograficzną charakterystykę stron/uczestników badanych postępowań, opisy typowych stanów faktycznych i przeprowadzonego w nich postępowania oraz wskazują na problemy prawne, a niekiedy także organizacyjne dotyczące przedmiotu analizy. Przyczyniają się więc w bardzo istotny sposób do opisu stanu „prawa w działaniu”, którego znajomość ma doniosłe znaczenie dla oceny zasadności zmiany obowiązujących przepisów i jej kierunków. Odnotować też należy, że twórca projektu ustawy – Ministerstwo Sprawiedliwości – jest organem decyzyjnym odnośnie do sposobu prowadzenia statystyki sądowej, ustala treść i szczegółowość kwestionariuszy statystycznych, określonym kategoriom spraw przypisuje unikalne symbole. Ministrowi Sprawiedliwości podlegają też państwowe jednostki organizacyjne prowadzące działalność naukowo-badawczą, mające doświadczenie w prowadzeniu badań akt sądowych. Celowe byłoby rozważenie, czy nie należy uzupełnić kwestionariuszy statystycznych oraz podjąć badań aktowych (choćby o charakterze pilotażowym) spraw, w których stan prawny miałby zostać zmieniony, przed nadaniem ostatecznego kształtu planowanej nowelizacji. Wydaje się iż korzyść z uzyskania aktualnych danych z zakresu statystyki sądowej oraz przeprowadzenia stosownych badań dla dobrej legislacji jest oczywista. Powyższe skłania do sugestii, aby przed podjęciem </w:t>
            </w:r>
            <w:r w:rsidRPr="00DC4396">
              <w:rPr>
                <w:rFonts w:ascii="Times New Roman" w:hAnsi="Times New Roman" w:cs="Times New Roman"/>
                <w:bCs/>
                <w:sz w:val="20"/>
                <w:szCs w:val="20"/>
              </w:rPr>
              <w:lastRenderedPageBreak/>
              <w:t xml:space="preserve">decyzji co do dalszych czynności, poprzedzających wniesienie projektu ustawy do Sejmu, </w:t>
            </w:r>
            <w:r w:rsidR="00B96435" w:rsidRPr="00DC4396">
              <w:rPr>
                <w:rFonts w:ascii="Times New Roman" w:hAnsi="Times New Roman" w:cs="Times New Roman"/>
                <w:bCs/>
                <w:sz w:val="20"/>
                <w:szCs w:val="20"/>
              </w:rPr>
              <w:t>dokonać stosownych</w:t>
            </w:r>
            <w:r w:rsidRPr="00DC4396">
              <w:rPr>
                <w:rFonts w:ascii="Times New Roman" w:hAnsi="Times New Roman" w:cs="Times New Roman"/>
                <w:bCs/>
                <w:sz w:val="20"/>
                <w:szCs w:val="20"/>
              </w:rPr>
              <w:t xml:space="preserve"> ustaleń, o ile zakres nowelizacji zaplanowanej w projekcie ustawy UD222 miałby pozostać niezmieniony.</w:t>
            </w:r>
          </w:p>
        </w:tc>
        <w:tc>
          <w:tcPr>
            <w:tcW w:w="4056" w:type="dxa"/>
          </w:tcPr>
          <w:p w14:paraId="5DD1707C" w14:textId="77777777" w:rsidR="00286D6A" w:rsidRDefault="00286D6A" w:rsidP="00286D6A">
            <w:pPr>
              <w:jc w:val="both"/>
              <w:rPr>
                <w:rFonts w:ascii="Times New Roman" w:eastAsia="Times New Roman" w:hAnsi="Times New Roman" w:cs="Times New Roman"/>
                <w:b/>
                <w:bCs/>
                <w:sz w:val="20"/>
                <w:szCs w:val="20"/>
                <w:lang w:eastAsia="pl-PL"/>
              </w:rPr>
            </w:pPr>
            <w:r w:rsidRPr="00C87548">
              <w:rPr>
                <w:rFonts w:ascii="Times New Roman" w:eastAsia="Times New Roman" w:hAnsi="Times New Roman" w:cs="Times New Roman"/>
                <w:b/>
                <w:bCs/>
                <w:sz w:val="20"/>
                <w:szCs w:val="20"/>
                <w:lang w:eastAsia="pl-PL"/>
              </w:rPr>
              <w:lastRenderedPageBreak/>
              <w:t>Wyjaśnienie</w:t>
            </w:r>
          </w:p>
          <w:p w14:paraId="11101AB3" w14:textId="77777777" w:rsidR="00393C8B" w:rsidRDefault="00393C8B" w:rsidP="004D55DA">
            <w:pPr>
              <w:jc w:val="both"/>
              <w:rPr>
                <w:rFonts w:ascii="Times New Roman" w:eastAsia="Times New Roman" w:hAnsi="Times New Roman" w:cs="Times New Roman"/>
                <w:b/>
                <w:bCs/>
                <w:sz w:val="20"/>
                <w:szCs w:val="20"/>
                <w:lang w:eastAsia="pl-PL"/>
              </w:rPr>
            </w:pPr>
          </w:p>
          <w:p w14:paraId="01B87273" w14:textId="77777777" w:rsidR="003465AD" w:rsidRDefault="004D55DA" w:rsidP="003465AD">
            <w:pPr>
              <w:jc w:val="both"/>
              <w:rPr>
                <w:rFonts w:ascii="Times New Roman" w:eastAsia="Times New Roman" w:hAnsi="Times New Roman" w:cs="Times New Roman"/>
                <w:sz w:val="20"/>
                <w:szCs w:val="20"/>
                <w:lang w:eastAsia="pl-PL"/>
              </w:rPr>
            </w:pPr>
            <w:r w:rsidRPr="00756A51">
              <w:rPr>
                <w:rFonts w:ascii="Times New Roman" w:eastAsia="Times New Roman" w:hAnsi="Times New Roman" w:cs="Times New Roman"/>
                <w:sz w:val="20"/>
                <w:szCs w:val="20"/>
                <w:lang w:eastAsia="pl-PL"/>
              </w:rPr>
              <w:t xml:space="preserve">Nowelizacja art. 934 k.c. doprowadzi do usunięcia z kręgu spadkobierców ustawowych jedynie dalekich krewnych, których częstokroć nie wiązały ze zmarłym jakiekolwiek więzi. Z praktyki orzeczniczej wynika przy tym, że prawnuki dziadków spadkodawcy i dalsi krewni zmarłego dochodzą do dziedziczenia po nim zazwyczaj w sytuacji odrzucenia spadku przez bliższych krewnych. Sytuacje, w których dalsi krewni zmarłego nie odrzucają spadku po jego odrzuceniu przez bliższych krewnych należą do rzadkości. Często też dalsi krewni zmarłego, którzy nie odrzucili spadku pomimo jego odrzucenia przez bliższych krewnych, </w:t>
            </w:r>
            <w:r w:rsidRPr="00756A51">
              <w:rPr>
                <w:rFonts w:ascii="Times New Roman" w:eastAsia="Times New Roman" w:hAnsi="Times New Roman" w:cs="Times New Roman"/>
                <w:sz w:val="20"/>
                <w:szCs w:val="20"/>
                <w:lang w:eastAsia="pl-PL"/>
              </w:rPr>
              <w:lastRenderedPageBreak/>
              <w:t xml:space="preserve">wszczynają postępowania o zatwierdzenie uchylenia się od skutków niezłożenia w terminie przewidzianym do złożenia oświadczenia o odrzuceniu spadku. </w:t>
            </w:r>
          </w:p>
          <w:p w14:paraId="158958D0" w14:textId="77777777" w:rsidR="00044F5C" w:rsidRDefault="003465AD" w:rsidP="003465AD">
            <w:pPr>
              <w:jc w:val="both"/>
              <w:rPr>
                <w:rFonts w:ascii="Times New Roman" w:eastAsia="Times New Roman" w:hAnsi="Times New Roman" w:cs="Times New Roman"/>
                <w:sz w:val="20"/>
                <w:szCs w:val="20"/>
                <w:lang w:eastAsia="pl-PL"/>
              </w:rPr>
            </w:pPr>
            <w:r w:rsidRPr="00756A51">
              <w:rPr>
                <w:rFonts w:ascii="Times New Roman" w:eastAsia="Times New Roman" w:hAnsi="Times New Roman" w:cs="Times New Roman"/>
                <w:sz w:val="20"/>
                <w:szCs w:val="20"/>
                <w:lang w:eastAsia="pl-PL"/>
              </w:rPr>
              <w:t>Przez zbyt szeroko zakreślony krąg spadkobierców ustawowych postępowania spadkowe wydłużają się i stają się bardziej kosztowne. Sąd spadku zmuszony jest do poszukiwania dalekich krewnych spadkodawcy, często poprzez ogłoszenie w prasie, nie rzadko zachodzi też konieczność tłumaczenia dokumentów doręczanych spadkobiercom mieszkającym za granicą. Wydłużenie postępowania o stwierdzenie nabycia spadku i dodatkowe koszty tego postępowania w znacznej liczbie przypadków są niecelowe. Dalecy krewni zmarłego – jak wskazano – częstokroć bowiem odrzucają spadek po nim. Jednocześnie dosyć często w przedłużającej się sprawie o stwierdzenie nabycia spadku wnoszona jest skarga na naruszenie prawa strony do rozpoznania sprawy w postępowaniu sądowym bez nieuzasadnionej zwłoki. Spadkobiercom zmarłego zależy bowiem na jak najszybszym uregulowaniu spraw spadkowych.</w:t>
            </w:r>
          </w:p>
          <w:p w14:paraId="5ABA4B0F" w14:textId="4AFE2768" w:rsidR="00044F5C" w:rsidRDefault="00044F5C" w:rsidP="003465AD">
            <w:pPr>
              <w:jc w:val="both"/>
              <w:rPr>
                <w:rFonts w:ascii="Times New Roman" w:eastAsia="Times New Roman" w:hAnsi="Times New Roman" w:cs="Times New Roman"/>
                <w:sz w:val="20"/>
                <w:szCs w:val="20"/>
                <w:lang w:eastAsia="pl-PL"/>
              </w:rPr>
            </w:pPr>
            <w:r w:rsidRPr="00831113">
              <w:rPr>
                <w:rFonts w:ascii="Times New Roman" w:eastAsia="Times New Roman" w:hAnsi="Times New Roman" w:cs="Times New Roman"/>
                <w:sz w:val="20"/>
                <w:szCs w:val="20"/>
                <w:u w:val="single"/>
                <w:lang w:eastAsia="pl-PL"/>
              </w:rPr>
              <w:t>Proponowana zmiana art. 934 k.c. pozwoli na skrócenie postępowań o stwierdzenie nabycia spadku, a przez to uchroni także Skarb Państwa od odpowiedzialności odszkodowawczej</w:t>
            </w:r>
            <w:r w:rsidRPr="00756A51">
              <w:rPr>
                <w:rFonts w:ascii="Times New Roman" w:eastAsia="Times New Roman" w:hAnsi="Times New Roman" w:cs="Times New Roman"/>
                <w:sz w:val="20"/>
                <w:szCs w:val="20"/>
                <w:lang w:eastAsia="pl-PL"/>
              </w:rPr>
              <w:t xml:space="preserve"> na podstawie przepisów </w:t>
            </w:r>
            <w:r w:rsidRPr="00756A51">
              <w:rPr>
                <w:rFonts w:ascii="Times New Roman" w:eastAsia="Times New Roman" w:hAnsi="Times New Roman" w:cs="Times New Roman"/>
                <w:i/>
                <w:iCs/>
                <w:sz w:val="20"/>
                <w:szCs w:val="20"/>
                <w:lang w:eastAsia="pl-PL"/>
              </w:rPr>
              <w:t xml:space="preserve">ustawy z dnia 17 czerwca 2004 r. o skardze na naruszenie prawa strony do rozpoznania sprawy w postępowaniu przygotowawczym prowadzonym lub nadzorowanym przez prokuratora i postępowaniu sądowym bez nieuzasadnionej zwłoki (j.t. Dz. U. z 2018 r., poz. 75 ze zm.). </w:t>
            </w:r>
            <w:r w:rsidRPr="00756A51">
              <w:rPr>
                <w:rFonts w:ascii="Times New Roman" w:eastAsia="Times New Roman" w:hAnsi="Times New Roman" w:cs="Times New Roman"/>
                <w:sz w:val="20"/>
                <w:szCs w:val="20"/>
                <w:lang w:eastAsia="pl-PL"/>
              </w:rPr>
              <w:t xml:space="preserve">Zmiana ta </w:t>
            </w:r>
            <w:r w:rsidRPr="00831113">
              <w:rPr>
                <w:rFonts w:ascii="Times New Roman" w:eastAsia="Times New Roman" w:hAnsi="Times New Roman" w:cs="Times New Roman"/>
                <w:sz w:val="20"/>
                <w:szCs w:val="20"/>
                <w:u w:val="single"/>
                <w:lang w:eastAsia="pl-PL"/>
              </w:rPr>
              <w:t xml:space="preserve">przyczyni się też do zmniejszenia ilości spraw o uchylenie się od skutków </w:t>
            </w:r>
            <w:r w:rsidRPr="00831113">
              <w:rPr>
                <w:rFonts w:ascii="Times New Roman" w:eastAsia="Times New Roman" w:hAnsi="Times New Roman" w:cs="Times New Roman"/>
                <w:sz w:val="20"/>
                <w:szCs w:val="20"/>
                <w:u w:val="single"/>
                <w:lang w:eastAsia="pl-PL"/>
              </w:rPr>
              <w:lastRenderedPageBreak/>
              <w:t xml:space="preserve">niezłożenia oświadczenia o odrzuceniu </w:t>
            </w:r>
            <w:r w:rsidR="00B96435" w:rsidRPr="00831113">
              <w:rPr>
                <w:rFonts w:ascii="Times New Roman" w:eastAsia="Times New Roman" w:hAnsi="Times New Roman" w:cs="Times New Roman"/>
                <w:sz w:val="20"/>
                <w:szCs w:val="20"/>
                <w:u w:val="single"/>
                <w:lang w:eastAsia="pl-PL"/>
              </w:rPr>
              <w:t>spadku</w:t>
            </w:r>
            <w:r>
              <w:rPr>
                <w:rFonts w:ascii="Times New Roman" w:eastAsia="Times New Roman" w:hAnsi="Times New Roman" w:cs="Times New Roman"/>
                <w:sz w:val="20"/>
                <w:szCs w:val="20"/>
                <w:u w:val="single"/>
                <w:lang w:eastAsia="pl-PL"/>
              </w:rPr>
              <w:t xml:space="preserve"> </w:t>
            </w:r>
            <w:r w:rsidRPr="00831113">
              <w:rPr>
                <w:rFonts w:ascii="Times New Roman" w:eastAsia="Times New Roman" w:hAnsi="Times New Roman" w:cs="Times New Roman"/>
                <w:sz w:val="20"/>
                <w:szCs w:val="20"/>
                <w:u w:val="single"/>
                <w:lang w:eastAsia="pl-PL"/>
              </w:rPr>
              <w:t>czy spraw o wyrażenie zgody na dokonanie czynności przekraczającej zakres</w:t>
            </w:r>
            <w:r>
              <w:rPr>
                <w:rFonts w:ascii="Times New Roman" w:eastAsia="Times New Roman" w:hAnsi="Times New Roman" w:cs="Times New Roman"/>
                <w:sz w:val="20"/>
                <w:szCs w:val="20"/>
                <w:u w:val="single"/>
                <w:lang w:eastAsia="pl-PL"/>
              </w:rPr>
              <w:t xml:space="preserve"> </w:t>
            </w:r>
            <w:r w:rsidRPr="00831113">
              <w:rPr>
                <w:rFonts w:ascii="Times New Roman" w:eastAsia="Times New Roman" w:hAnsi="Times New Roman" w:cs="Times New Roman"/>
                <w:sz w:val="20"/>
                <w:szCs w:val="20"/>
                <w:u w:val="single"/>
                <w:lang w:eastAsia="pl-PL"/>
              </w:rPr>
              <w:t>zwykłego zarządu majątkiem małoletniego lub osoby pozostającej pod opieką</w:t>
            </w:r>
            <w:r w:rsidRPr="00756A51">
              <w:rPr>
                <w:rFonts w:ascii="Times New Roman" w:eastAsia="Times New Roman" w:hAnsi="Times New Roman" w:cs="Times New Roman"/>
                <w:sz w:val="20"/>
                <w:szCs w:val="20"/>
                <w:lang w:eastAsia="pl-PL"/>
              </w:rPr>
              <w:t xml:space="preserve">. </w:t>
            </w:r>
          </w:p>
          <w:p w14:paraId="5DE1D7D9" w14:textId="597B1786" w:rsidR="00044F5C" w:rsidRPr="00286D6A" w:rsidRDefault="00044F5C" w:rsidP="003465AD">
            <w:pPr>
              <w:jc w:val="both"/>
              <w:rPr>
                <w:rFonts w:ascii="Times New Roman" w:eastAsia="Times New Roman" w:hAnsi="Times New Roman" w:cs="Times New Roman"/>
                <w:sz w:val="24"/>
                <w:szCs w:val="24"/>
                <w:u w:val="single"/>
                <w:lang w:eastAsia="pl-PL"/>
              </w:rPr>
            </w:pPr>
            <w:r w:rsidRPr="00756A51">
              <w:rPr>
                <w:rFonts w:ascii="Times New Roman" w:eastAsia="Times New Roman" w:hAnsi="Times New Roman" w:cs="Times New Roman"/>
                <w:sz w:val="20"/>
                <w:szCs w:val="20"/>
                <w:lang w:eastAsia="pl-PL"/>
              </w:rPr>
              <w:t xml:space="preserve">Ograniczenia kręgu spadkobierców ustawowych nie sposób uznać jedynie za narzędzie służące do usprawnienia toczących się </w:t>
            </w:r>
            <w:r w:rsidR="00B96435" w:rsidRPr="00756A51">
              <w:rPr>
                <w:rFonts w:ascii="Times New Roman" w:eastAsia="Times New Roman" w:hAnsi="Times New Roman" w:cs="Times New Roman"/>
                <w:sz w:val="20"/>
                <w:szCs w:val="20"/>
                <w:lang w:eastAsia="pl-PL"/>
              </w:rPr>
              <w:t>postępowań</w:t>
            </w:r>
            <w:r w:rsidRPr="00756A51">
              <w:rPr>
                <w:rFonts w:ascii="Times New Roman" w:eastAsia="Times New Roman" w:hAnsi="Times New Roman" w:cs="Times New Roman"/>
                <w:sz w:val="20"/>
                <w:szCs w:val="20"/>
                <w:lang w:eastAsia="pl-PL"/>
              </w:rPr>
              <w:t xml:space="preserve"> czy ograniczenia ilości spraw wpływających do sądu. Zawężenie kręgu spadkobierców w sposób przewidziany w nowelizowanym art. 934 k.c. jest celowe z przedstawionych wyżej względów. </w:t>
            </w:r>
            <w:r w:rsidRPr="00286D6A">
              <w:rPr>
                <w:rFonts w:ascii="Times New Roman" w:eastAsia="Times New Roman" w:hAnsi="Times New Roman" w:cs="Times New Roman"/>
                <w:sz w:val="20"/>
                <w:szCs w:val="20"/>
                <w:u w:val="single"/>
                <w:lang w:eastAsia="pl-PL"/>
              </w:rPr>
              <w:t xml:space="preserve">Efektem tego zawężenia kręgu spadkobierców ustawowych będzie usprawnienie toczących się postępowań o stwierdzenie nabycia spadku i ograniczenie ilości spraw o uchylenie się od skutków niezłożenia oświadczenia o odrzuceniu </w:t>
            </w:r>
            <w:r w:rsidR="00B96435" w:rsidRPr="00286D6A">
              <w:rPr>
                <w:rFonts w:ascii="Times New Roman" w:eastAsia="Times New Roman" w:hAnsi="Times New Roman" w:cs="Times New Roman"/>
                <w:sz w:val="20"/>
                <w:szCs w:val="20"/>
                <w:u w:val="single"/>
                <w:lang w:eastAsia="pl-PL"/>
              </w:rPr>
              <w:t>spadku</w:t>
            </w:r>
            <w:r w:rsidRPr="00286D6A">
              <w:rPr>
                <w:rFonts w:ascii="Times New Roman" w:eastAsia="Times New Roman" w:hAnsi="Times New Roman" w:cs="Times New Roman"/>
                <w:sz w:val="20"/>
                <w:szCs w:val="20"/>
                <w:u w:val="single"/>
                <w:lang w:eastAsia="pl-PL"/>
              </w:rPr>
              <w:t xml:space="preserve"> czy spraw o wyrażenie zgody na dokonanie czynności przekraczającej zakres zwykłego zarządu majątkiem małoletniego lub osoby pozostającej pod opieką.</w:t>
            </w:r>
            <w:r w:rsidRPr="00286D6A">
              <w:rPr>
                <w:rFonts w:ascii="Times New Roman" w:eastAsia="Times New Roman" w:hAnsi="Times New Roman" w:cs="Times New Roman"/>
                <w:sz w:val="24"/>
                <w:szCs w:val="24"/>
                <w:u w:val="single"/>
                <w:lang w:eastAsia="pl-PL"/>
              </w:rPr>
              <w:t xml:space="preserve">  </w:t>
            </w:r>
          </w:p>
          <w:p w14:paraId="2A9BEE1F" w14:textId="77777777" w:rsidR="00B8203A" w:rsidRDefault="00B8203A" w:rsidP="003465AD">
            <w:pPr>
              <w:jc w:val="both"/>
              <w:rPr>
                <w:rFonts w:ascii="Times New Roman" w:eastAsia="Times New Roman" w:hAnsi="Times New Roman" w:cs="Times New Roman"/>
                <w:sz w:val="24"/>
                <w:szCs w:val="24"/>
                <w:lang w:eastAsia="pl-PL"/>
              </w:rPr>
            </w:pPr>
          </w:p>
          <w:p w14:paraId="02DC345A" w14:textId="0E30961C" w:rsidR="00A54D23" w:rsidRPr="002A0BF2" w:rsidRDefault="00044F5C" w:rsidP="00A54D23">
            <w:pPr>
              <w:autoSpaceDE w:val="0"/>
              <w:autoSpaceDN w:val="0"/>
              <w:jc w:val="both"/>
              <w:rPr>
                <w:rFonts w:ascii="Times New Roman" w:eastAsia="Times New Roman" w:hAnsi="Times New Roman" w:cs="Times New Roman"/>
                <w:sz w:val="20"/>
                <w:szCs w:val="20"/>
                <w:u w:val="single"/>
                <w:lang w:eastAsia="pl-PL"/>
              </w:rPr>
            </w:pPr>
            <w:bookmarkStart w:id="0" w:name="_Hlk97122982"/>
            <w:r w:rsidRPr="002A0BF2">
              <w:rPr>
                <w:rFonts w:ascii="Times New Roman" w:eastAsia="Times New Roman" w:hAnsi="Times New Roman" w:cs="Times New Roman"/>
                <w:sz w:val="20"/>
                <w:szCs w:val="20"/>
                <w:u w:val="single"/>
                <w:lang w:eastAsia="pl-PL"/>
              </w:rPr>
              <w:t xml:space="preserve">Wskazać również należy, że </w:t>
            </w:r>
            <w:r w:rsidR="00743C05" w:rsidRPr="002A0BF2">
              <w:rPr>
                <w:rFonts w:ascii="Times New Roman" w:eastAsia="Times New Roman" w:hAnsi="Times New Roman" w:cs="Times New Roman"/>
                <w:sz w:val="20"/>
                <w:szCs w:val="20"/>
                <w:u w:val="single"/>
                <w:lang w:eastAsia="pl-PL"/>
              </w:rPr>
              <w:t>zostały też podjęte</w:t>
            </w:r>
            <w:r w:rsidRPr="002A0BF2">
              <w:rPr>
                <w:rFonts w:ascii="Times New Roman" w:eastAsia="Times New Roman" w:hAnsi="Times New Roman" w:cs="Times New Roman"/>
                <w:sz w:val="20"/>
                <w:szCs w:val="20"/>
                <w:u w:val="single"/>
                <w:lang w:eastAsia="pl-PL"/>
              </w:rPr>
              <w:t xml:space="preserve"> działania celem uzupełnienia kwestionariuszy statystycznych</w:t>
            </w:r>
            <w:r w:rsidR="00743C05" w:rsidRPr="002A0BF2">
              <w:rPr>
                <w:rFonts w:ascii="Times New Roman" w:eastAsia="Times New Roman" w:hAnsi="Times New Roman" w:cs="Times New Roman"/>
                <w:sz w:val="20"/>
                <w:szCs w:val="20"/>
                <w:u w:val="single"/>
                <w:lang w:eastAsia="pl-PL"/>
              </w:rPr>
              <w:t>.</w:t>
            </w:r>
            <w:r w:rsidR="002B517C" w:rsidRPr="002A0BF2">
              <w:rPr>
                <w:rFonts w:ascii="Times New Roman" w:eastAsia="Times New Roman" w:hAnsi="Times New Roman" w:cs="Times New Roman"/>
                <w:sz w:val="20"/>
                <w:szCs w:val="20"/>
                <w:u w:val="single"/>
                <w:lang w:eastAsia="pl-PL"/>
              </w:rPr>
              <w:t xml:space="preserve"> </w:t>
            </w:r>
          </w:p>
          <w:p w14:paraId="78FB570E" w14:textId="77777777" w:rsidR="002A0BF2" w:rsidRDefault="002A0BF2" w:rsidP="00A54D23">
            <w:pPr>
              <w:autoSpaceDE w:val="0"/>
              <w:autoSpaceDN w:val="0"/>
              <w:jc w:val="both"/>
              <w:rPr>
                <w:rFonts w:ascii="Times New Roman" w:eastAsia="Times New Roman" w:hAnsi="Times New Roman" w:cs="Times New Roman"/>
                <w:sz w:val="20"/>
                <w:szCs w:val="20"/>
                <w:lang w:eastAsia="pl-PL"/>
              </w:rPr>
            </w:pPr>
          </w:p>
          <w:p w14:paraId="6F8528AF" w14:textId="4C4B612F" w:rsidR="00A54D23" w:rsidRDefault="00A54D23" w:rsidP="00A54D23">
            <w:pPr>
              <w:autoSpaceDE w:val="0"/>
              <w:autoSpaceDN w:val="0"/>
              <w:jc w:val="both"/>
              <w:rPr>
                <w:rFonts w:ascii="Times New Roman" w:hAnsi="Times New Roman" w:cs="Times New Roman"/>
              </w:rPr>
            </w:pPr>
            <w:r w:rsidRPr="00A54D23">
              <w:rPr>
                <w:rFonts w:ascii="Times New Roman" w:hAnsi="Times New Roman" w:cs="Times New Roman"/>
                <w:sz w:val="20"/>
                <w:szCs w:val="20"/>
              </w:rPr>
              <w:t xml:space="preserve">Do dnia 22 września 2021 r.  sprawy o stwierdzenie nabycia spadku czy o odebranie oświadczenia o przyjęciu/odrzuceniu spadku z udziałem małoletniego, a także sprawy o wyrażenie zgody na odrzucenie/przyjęcie spadku przez małoletniego nie posiadały unikalnego symbolu. Zaliczały się one do spraw o stwierdzenie nabycia spadku (symbol: </w:t>
            </w:r>
            <w:proofErr w:type="spellStart"/>
            <w:r w:rsidRPr="00A54D23">
              <w:rPr>
                <w:rFonts w:ascii="Times New Roman" w:hAnsi="Times New Roman" w:cs="Times New Roman"/>
                <w:sz w:val="20"/>
                <w:szCs w:val="20"/>
              </w:rPr>
              <w:t>Ns</w:t>
            </w:r>
            <w:proofErr w:type="spellEnd"/>
            <w:r w:rsidRPr="00A54D23">
              <w:rPr>
                <w:rFonts w:ascii="Times New Roman" w:hAnsi="Times New Roman" w:cs="Times New Roman"/>
                <w:sz w:val="20"/>
                <w:szCs w:val="20"/>
              </w:rPr>
              <w:t xml:space="preserve"> – 218), spraw o odebranie oświadczenia w przedmiocie przyjęcia/odrzucenia spadku (symbol: </w:t>
            </w:r>
            <w:proofErr w:type="spellStart"/>
            <w:r w:rsidRPr="00A54D23">
              <w:rPr>
                <w:rFonts w:ascii="Times New Roman" w:hAnsi="Times New Roman" w:cs="Times New Roman"/>
                <w:sz w:val="20"/>
                <w:szCs w:val="20"/>
              </w:rPr>
              <w:t>Ns</w:t>
            </w:r>
            <w:proofErr w:type="spellEnd"/>
            <w:r w:rsidRPr="00A54D23">
              <w:rPr>
                <w:rFonts w:ascii="Times New Roman" w:hAnsi="Times New Roman" w:cs="Times New Roman"/>
                <w:sz w:val="20"/>
                <w:szCs w:val="20"/>
              </w:rPr>
              <w:t xml:space="preserve"> – 267) i spraw o zezwolenie na </w:t>
            </w:r>
            <w:r w:rsidRPr="00A54D23">
              <w:rPr>
                <w:rFonts w:ascii="Times New Roman" w:hAnsi="Times New Roman" w:cs="Times New Roman"/>
                <w:sz w:val="20"/>
                <w:szCs w:val="20"/>
              </w:rPr>
              <w:lastRenderedPageBreak/>
              <w:t xml:space="preserve">dokonanie czynności przekraczającej zakres zwykłego zarządu majątkiem dziecka (art. 101 § 3 k.r. i o.) (symbol: </w:t>
            </w:r>
            <w:proofErr w:type="spellStart"/>
            <w:r w:rsidRPr="00A54D23">
              <w:rPr>
                <w:rFonts w:ascii="Times New Roman" w:hAnsi="Times New Roman" w:cs="Times New Roman"/>
                <w:sz w:val="20"/>
                <w:szCs w:val="20"/>
              </w:rPr>
              <w:t>Nsm</w:t>
            </w:r>
            <w:proofErr w:type="spellEnd"/>
            <w:r w:rsidRPr="00A54D23">
              <w:rPr>
                <w:rFonts w:ascii="Times New Roman" w:hAnsi="Times New Roman" w:cs="Times New Roman"/>
                <w:sz w:val="20"/>
                <w:szCs w:val="20"/>
              </w:rPr>
              <w:t xml:space="preserve"> – 242). Aktualnie, w wyniku zarządzenia Ministra Sprawiedliwości z dnia 21 września 2021 r. zmieniającego zarządzenie w sprawie </w:t>
            </w:r>
            <w:r w:rsidRPr="00A54D23">
              <w:rPr>
                <w:rFonts w:ascii="Times New Roman" w:hAnsi="Times New Roman" w:cs="Times New Roman"/>
                <w:color w:val="000000"/>
                <w:sz w:val="20"/>
                <w:szCs w:val="20"/>
              </w:rPr>
              <w:t xml:space="preserve">w sprawie organizacji i zakresu działania sekretariatów sądowych oraz innych działów administracji sądowej (Dz. Urz. MS z 2021 r. poz. 230), które weszło w życie w dniu 22 września 2021 r., sprawy z udziałem małoletniego uzyskały osobny symbol: </w:t>
            </w:r>
            <w:proofErr w:type="spellStart"/>
            <w:r w:rsidRPr="00A54D23">
              <w:rPr>
                <w:rFonts w:ascii="Times New Roman" w:hAnsi="Times New Roman" w:cs="Times New Roman"/>
                <w:color w:val="000000"/>
                <w:sz w:val="20"/>
                <w:szCs w:val="20"/>
              </w:rPr>
              <w:t>Ns</w:t>
            </w:r>
            <w:proofErr w:type="spellEnd"/>
            <w:r w:rsidRPr="00A54D23">
              <w:rPr>
                <w:rFonts w:ascii="Times New Roman" w:hAnsi="Times New Roman" w:cs="Times New Roman"/>
                <w:color w:val="000000"/>
                <w:sz w:val="20"/>
                <w:szCs w:val="20"/>
              </w:rPr>
              <w:t xml:space="preserve"> – 218m (o stwierdzenie nabycia spadku z udziałem osób małoletnich), </w:t>
            </w:r>
            <w:proofErr w:type="spellStart"/>
            <w:r w:rsidRPr="00A54D23">
              <w:rPr>
                <w:rFonts w:ascii="Times New Roman" w:hAnsi="Times New Roman" w:cs="Times New Roman"/>
                <w:color w:val="000000"/>
                <w:sz w:val="20"/>
                <w:szCs w:val="20"/>
              </w:rPr>
              <w:t>Ns</w:t>
            </w:r>
            <w:proofErr w:type="spellEnd"/>
            <w:r w:rsidRPr="00A54D23">
              <w:rPr>
                <w:rFonts w:ascii="Times New Roman" w:hAnsi="Times New Roman" w:cs="Times New Roman"/>
                <w:color w:val="000000"/>
                <w:sz w:val="20"/>
                <w:szCs w:val="20"/>
              </w:rPr>
              <w:t xml:space="preserve"> – 267m (o odebranie oświadczenia w przedmiocie przyjęcia/odrzucenia spadku z udziałem osób małoletnich) i </w:t>
            </w:r>
            <w:proofErr w:type="spellStart"/>
            <w:r w:rsidRPr="00A54D23">
              <w:rPr>
                <w:rFonts w:ascii="Times New Roman" w:hAnsi="Times New Roman" w:cs="Times New Roman"/>
                <w:color w:val="000000"/>
                <w:sz w:val="20"/>
                <w:szCs w:val="20"/>
              </w:rPr>
              <w:t>Nsm</w:t>
            </w:r>
            <w:proofErr w:type="spellEnd"/>
            <w:r w:rsidRPr="00A54D23">
              <w:rPr>
                <w:rFonts w:ascii="Times New Roman" w:hAnsi="Times New Roman" w:cs="Times New Roman"/>
                <w:color w:val="000000"/>
                <w:sz w:val="20"/>
                <w:szCs w:val="20"/>
              </w:rPr>
              <w:t xml:space="preserve"> – 242sp – o zezwolenie na dokonanie czynności przekraczającej zakres zwykłego zarządu majątkiem dziecka (art. 101 § 3 k.r. i o.) polegającej na z</w:t>
            </w:r>
            <w:r w:rsidRPr="00A54D23">
              <w:rPr>
                <w:rFonts w:ascii="Times New Roman" w:hAnsi="Times New Roman" w:cs="Times New Roman"/>
                <w:color w:val="333333"/>
                <w:sz w:val="20"/>
                <w:szCs w:val="20"/>
                <w:shd w:val="clear" w:color="auto" w:fill="FFFFFF"/>
              </w:rPr>
              <w:t>ezwoleniu na przyjęcie/odrzucenie spadku w imieniu małoletniego</w:t>
            </w:r>
            <w:r w:rsidRPr="00A54D23">
              <w:rPr>
                <w:rFonts w:ascii="Times New Roman" w:hAnsi="Times New Roman" w:cs="Times New Roman"/>
                <w:sz w:val="20"/>
                <w:szCs w:val="20"/>
              </w:rPr>
              <w:t>.</w:t>
            </w:r>
            <w:r>
              <w:t xml:space="preserve"> </w:t>
            </w:r>
          </w:p>
          <w:p w14:paraId="6276C213" w14:textId="77777777" w:rsidR="00A54D23" w:rsidRDefault="00A54D23" w:rsidP="00A54D23">
            <w:pPr>
              <w:autoSpaceDE w:val="0"/>
              <w:autoSpaceDN w:val="0"/>
              <w:jc w:val="both"/>
              <w:rPr>
                <w:rFonts w:ascii="Times New Roman" w:hAnsi="Times New Roman" w:cs="Times New Roman"/>
              </w:rPr>
            </w:pPr>
          </w:p>
          <w:bookmarkEnd w:id="0"/>
          <w:p w14:paraId="1E997B21" w14:textId="01004087" w:rsidR="00DC4396" w:rsidRPr="00286D6A" w:rsidRDefault="00743C05" w:rsidP="00286D6A">
            <w:pPr>
              <w:jc w:val="both"/>
              <w:rPr>
                <w:rFonts w:ascii="Times New Roman" w:eastAsia="Times New Roman" w:hAnsi="Times New Roman" w:cs="Times New Roman"/>
                <w:sz w:val="20"/>
                <w:szCs w:val="20"/>
                <w:u w:val="single"/>
                <w:lang w:eastAsia="pl-PL"/>
              </w:rPr>
            </w:pPr>
            <w:r w:rsidRPr="005837F8">
              <w:rPr>
                <w:rFonts w:ascii="Times New Roman" w:eastAsia="Times New Roman" w:hAnsi="Times New Roman" w:cs="Times New Roman"/>
                <w:sz w:val="20"/>
                <w:szCs w:val="20"/>
                <w:u w:val="single"/>
                <w:lang w:eastAsia="pl-PL"/>
              </w:rPr>
              <w:t>Z</w:t>
            </w:r>
            <w:r w:rsidR="00044F5C" w:rsidRPr="005837F8">
              <w:rPr>
                <w:rFonts w:ascii="Times New Roman" w:eastAsia="Times New Roman" w:hAnsi="Times New Roman" w:cs="Times New Roman"/>
                <w:sz w:val="20"/>
                <w:szCs w:val="20"/>
                <w:u w:val="single"/>
                <w:lang w:eastAsia="pl-PL"/>
              </w:rPr>
              <w:t xml:space="preserve">wrócono się </w:t>
            </w:r>
            <w:r w:rsidR="002B517C" w:rsidRPr="005837F8">
              <w:rPr>
                <w:rFonts w:ascii="Times New Roman" w:eastAsia="Times New Roman" w:hAnsi="Times New Roman" w:cs="Times New Roman"/>
                <w:sz w:val="20"/>
                <w:szCs w:val="20"/>
                <w:u w:val="single"/>
                <w:lang w:eastAsia="pl-PL"/>
              </w:rPr>
              <w:t xml:space="preserve">również </w:t>
            </w:r>
            <w:r w:rsidR="00044F5C" w:rsidRPr="005837F8">
              <w:rPr>
                <w:rFonts w:ascii="Times New Roman" w:eastAsia="Times New Roman" w:hAnsi="Times New Roman" w:cs="Times New Roman"/>
                <w:sz w:val="20"/>
                <w:szCs w:val="20"/>
                <w:u w:val="single"/>
                <w:lang w:eastAsia="pl-PL"/>
              </w:rPr>
              <w:t>z wnioskiem do Instytutu Wymiar</w:t>
            </w:r>
            <w:r w:rsidR="005837F8" w:rsidRPr="005837F8">
              <w:rPr>
                <w:rFonts w:ascii="Times New Roman" w:eastAsia="Times New Roman" w:hAnsi="Times New Roman" w:cs="Times New Roman"/>
                <w:sz w:val="20"/>
                <w:szCs w:val="20"/>
                <w:u w:val="single"/>
                <w:lang w:eastAsia="pl-PL"/>
              </w:rPr>
              <w:t>u</w:t>
            </w:r>
            <w:r w:rsidR="00044F5C" w:rsidRPr="005837F8">
              <w:rPr>
                <w:rFonts w:ascii="Times New Roman" w:eastAsia="Times New Roman" w:hAnsi="Times New Roman" w:cs="Times New Roman"/>
                <w:sz w:val="20"/>
                <w:szCs w:val="20"/>
                <w:u w:val="single"/>
                <w:lang w:eastAsia="pl-PL"/>
              </w:rPr>
              <w:t xml:space="preserve"> Sprawiedliwości o </w:t>
            </w:r>
            <w:r w:rsidR="005837F8">
              <w:rPr>
                <w:rFonts w:ascii="Times New Roman" w:eastAsia="Times New Roman" w:hAnsi="Times New Roman" w:cs="Times New Roman"/>
                <w:sz w:val="20"/>
                <w:szCs w:val="20"/>
                <w:u w:val="single"/>
                <w:lang w:eastAsia="pl-PL"/>
              </w:rPr>
              <w:t>przeprowadzenie</w:t>
            </w:r>
            <w:r w:rsidR="00044F5C" w:rsidRPr="005837F8">
              <w:rPr>
                <w:rFonts w:ascii="Times New Roman" w:eastAsia="Times New Roman" w:hAnsi="Times New Roman" w:cs="Times New Roman"/>
                <w:sz w:val="20"/>
                <w:szCs w:val="20"/>
                <w:u w:val="single"/>
                <w:lang w:eastAsia="pl-PL"/>
              </w:rPr>
              <w:t xml:space="preserve"> badań aktowych.  </w:t>
            </w:r>
          </w:p>
        </w:tc>
      </w:tr>
      <w:tr w:rsidR="00DC4396" w:rsidRPr="00FF4480" w14:paraId="4E9A7412" w14:textId="77777777" w:rsidTr="00B919AF">
        <w:trPr>
          <w:jc w:val="center"/>
        </w:trPr>
        <w:tc>
          <w:tcPr>
            <w:tcW w:w="13994" w:type="dxa"/>
            <w:gridSpan w:val="5"/>
            <w:shd w:val="clear" w:color="auto" w:fill="A6A6A6" w:themeFill="background1" w:themeFillShade="A6"/>
          </w:tcPr>
          <w:p w14:paraId="14DF1E4F" w14:textId="77777777" w:rsidR="00DC4396" w:rsidRPr="005C23F7" w:rsidRDefault="00DC4396" w:rsidP="00DC4396">
            <w:pPr>
              <w:spacing w:before="120" w:after="120"/>
              <w:jc w:val="center"/>
              <w:rPr>
                <w:rFonts w:ascii="Times New Roman" w:hAnsi="Times New Roman" w:cs="Times New Roman"/>
                <w:i/>
                <w:sz w:val="24"/>
                <w:szCs w:val="24"/>
              </w:rPr>
            </w:pPr>
            <w:r w:rsidRPr="005C23F7">
              <w:rPr>
                <w:rFonts w:ascii="Times New Roman" w:hAnsi="Times New Roman" w:cs="Times New Roman"/>
                <w:b/>
                <w:bCs/>
                <w:color w:val="000000" w:themeColor="text1"/>
                <w:sz w:val="24"/>
                <w:szCs w:val="24"/>
              </w:rPr>
              <w:lastRenderedPageBreak/>
              <w:t>Uwagi do projektu ustawy</w:t>
            </w:r>
          </w:p>
        </w:tc>
      </w:tr>
      <w:tr w:rsidR="0080306F" w14:paraId="3B5C47A3" w14:textId="77777777" w:rsidTr="00C51680">
        <w:trPr>
          <w:jc w:val="center"/>
        </w:trPr>
        <w:tc>
          <w:tcPr>
            <w:tcW w:w="561" w:type="dxa"/>
          </w:tcPr>
          <w:p w14:paraId="4D51A84E" w14:textId="32703260" w:rsidR="0080306F" w:rsidRDefault="0080306F" w:rsidP="0080306F">
            <w:pPr>
              <w:spacing w:before="120"/>
              <w:ind w:right="-534"/>
              <w:rPr>
                <w:rFonts w:ascii="Times New Roman" w:hAnsi="Times New Roman" w:cs="Times New Roman"/>
                <w:b/>
                <w:sz w:val="20"/>
              </w:rPr>
            </w:pPr>
            <w:r>
              <w:rPr>
                <w:rFonts w:ascii="Times New Roman" w:hAnsi="Times New Roman" w:cs="Times New Roman"/>
                <w:b/>
                <w:sz w:val="20"/>
              </w:rPr>
              <w:t>1.</w:t>
            </w:r>
          </w:p>
        </w:tc>
        <w:tc>
          <w:tcPr>
            <w:tcW w:w="1841" w:type="dxa"/>
            <w:vAlign w:val="center"/>
          </w:tcPr>
          <w:p w14:paraId="50B29E9D" w14:textId="3997C771" w:rsidR="0080306F" w:rsidRDefault="0080306F" w:rsidP="0080306F">
            <w:pPr>
              <w:spacing w:before="120" w:after="120"/>
              <w:jc w:val="center"/>
              <w:rPr>
                <w:rFonts w:ascii="Times New Roman" w:hAnsi="Times New Roman" w:cs="Times New Roman"/>
                <w:sz w:val="20"/>
              </w:rPr>
            </w:pPr>
            <w:r w:rsidRPr="006D0389">
              <w:rPr>
                <w:rFonts w:ascii="Times New Roman" w:hAnsi="Times New Roman" w:cs="Times New Roman"/>
                <w:sz w:val="20"/>
                <w:szCs w:val="20"/>
              </w:rPr>
              <w:t>Sąd Najwyższy</w:t>
            </w:r>
            <w:r>
              <w:rPr>
                <w:rFonts w:ascii="Times New Roman" w:hAnsi="Times New Roman" w:cs="Times New Roman"/>
                <w:sz w:val="20"/>
                <w:szCs w:val="20"/>
              </w:rPr>
              <w:t xml:space="preserve"> BSiA SN</w:t>
            </w:r>
          </w:p>
        </w:tc>
        <w:tc>
          <w:tcPr>
            <w:tcW w:w="1883" w:type="dxa"/>
            <w:vAlign w:val="center"/>
          </w:tcPr>
          <w:p w14:paraId="6F7BC48D" w14:textId="7832C80F" w:rsidR="0080306F" w:rsidRPr="0019403C" w:rsidRDefault="0080306F" w:rsidP="0080306F">
            <w:pPr>
              <w:rPr>
                <w:rFonts w:ascii="Times New Roman" w:hAnsi="Times New Roman" w:cs="Times New Roman"/>
                <w:sz w:val="18"/>
                <w:szCs w:val="20"/>
              </w:rPr>
            </w:pPr>
            <w:r>
              <w:rPr>
                <w:rFonts w:ascii="Times New Roman" w:hAnsi="Times New Roman" w:cs="Times New Roman"/>
                <w:sz w:val="20"/>
                <w:szCs w:val="20"/>
              </w:rPr>
              <w:t xml:space="preserve">art. 1 pkt 1 </w:t>
            </w:r>
            <w:r w:rsidRPr="00B36945">
              <w:rPr>
                <w:rFonts w:ascii="Times New Roman" w:hAnsi="Times New Roman" w:cs="Times New Roman"/>
                <w:b/>
                <w:sz w:val="20"/>
                <w:szCs w:val="20"/>
              </w:rPr>
              <w:t>dodanie w art. art. 928 § 1 k.c. punktu 4</w:t>
            </w:r>
          </w:p>
        </w:tc>
        <w:tc>
          <w:tcPr>
            <w:tcW w:w="5653" w:type="dxa"/>
            <w:vAlign w:val="center"/>
          </w:tcPr>
          <w:p w14:paraId="60F438BC" w14:textId="77777777" w:rsidR="0080306F" w:rsidRDefault="0080306F" w:rsidP="0080306F">
            <w:pPr>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Koncepcja wprowadzenia do art. 928 § 1 k.c. nowej przyczyny niegodności dziedziczenia, zbliżonej w płaszczyźnie aksjologicznej do przyczyny wydziedziczenia, wymienionej w art. 1008 pkt 3 kodeksu cywilnego (uporczywe niedopełnianie względem spadkodawcy obowiązków rodzinnych), jest - co zasady - godna poważnego rozważenia. </w:t>
            </w:r>
            <w:r w:rsidRPr="00A13237">
              <w:rPr>
                <w:rFonts w:ascii="Times New Roman" w:eastAsia="Times New Roman" w:hAnsi="Times New Roman" w:cs="Times New Roman"/>
                <w:sz w:val="20"/>
                <w:szCs w:val="20"/>
                <w:lang w:eastAsia="pl-PL"/>
              </w:rPr>
              <w:t>Wypracowanie stosownej formuły przepisu wymaga jednak dalszych prac analitycznych</w:t>
            </w:r>
            <w:r>
              <w:rPr>
                <w:rFonts w:ascii="Times New Roman" w:eastAsia="Times New Roman" w:hAnsi="Times New Roman" w:cs="Times New Roman"/>
                <w:sz w:val="20"/>
                <w:szCs w:val="20"/>
                <w:lang w:eastAsia="pl-PL"/>
              </w:rPr>
              <w:t>, z tym, że uporczywe niewykonywanie wobec spadkodawcy jednego z obowiązków rodzinnych, jakim jest obowiązek alimentacyjny nie nasuwa zastrzeżeń, jako nowa przyczyna niegodności. Wydaje się jednak celowe rozważenie także poniższej wersji nowelizowanego przepisu</w:t>
            </w:r>
          </w:p>
          <w:p w14:paraId="14316974" w14:textId="77777777" w:rsidR="0080306F" w:rsidRPr="00694F71" w:rsidRDefault="0080306F" w:rsidP="0080306F">
            <w:pPr>
              <w:ind w:left="708"/>
              <w:jc w:val="both"/>
              <w:rPr>
                <w:rFonts w:ascii="Times New Roman" w:eastAsia="Times New Roman" w:hAnsi="Times New Roman" w:cs="Times New Roman"/>
                <w:sz w:val="20"/>
                <w:szCs w:val="20"/>
                <w:lang w:eastAsia="pl-PL"/>
              </w:rPr>
            </w:pPr>
            <w:bookmarkStart w:id="1" w:name="_Hlk63316264"/>
            <w:r w:rsidRPr="00694F71">
              <w:rPr>
                <w:rFonts w:ascii="Times New Roman" w:eastAsia="Times New Roman" w:hAnsi="Times New Roman" w:cs="Times New Roman"/>
                <w:b/>
                <w:sz w:val="20"/>
                <w:szCs w:val="20"/>
                <w:lang w:eastAsia="pl-PL"/>
              </w:rPr>
              <w:lastRenderedPageBreak/>
              <w:t>„</w:t>
            </w:r>
            <w:r w:rsidRPr="00E92CB6">
              <w:rPr>
                <w:rFonts w:ascii="Times New Roman" w:eastAsia="Times New Roman" w:hAnsi="Times New Roman" w:cs="Times New Roman"/>
                <w:sz w:val="20"/>
                <w:szCs w:val="20"/>
                <w:lang w:eastAsia="pl-PL"/>
              </w:rPr>
              <w:t xml:space="preserve">uporczywie nie </w:t>
            </w:r>
            <w:bookmarkEnd w:id="1"/>
            <w:r w:rsidRPr="00E92CB6">
              <w:rPr>
                <w:rFonts w:ascii="Times New Roman" w:eastAsia="Times New Roman" w:hAnsi="Times New Roman" w:cs="Times New Roman"/>
                <w:sz w:val="20"/>
                <w:szCs w:val="20"/>
                <w:lang w:eastAsia="pl-PL"/>
              </w:rPr>
              <w:t xml:space="preserve">wykonywał wobec spadkodawcy obowiązku alimentacyjnego </w:t>
            </w:r>
            <w:r w:rsidRPr="00694F71">
              <w:rPr>
                <w:rFonts w:ascii="Times New Roman" w:eastAsia="Times New Roman" w:hAnsi="Times New Roman" w:cs="Times New Roman"/>
                <w:b/>
                <w:sz w:val="20"/>
                <w:szCs w:val="20"/>
                <w:lang w:eastAsia="pl-PL"/>
              </w:rPr>
              <w:t>określonego co do wysokości orzeczeniem sądowym, ugodą zawartą przed sądem albo innym organem albo inną umową</w:t>
            </w:r>
            <w:r w:rsidRPr="00694F71">
              <w:rPr>
                <w:rFonts w:ascii="Times New Roman" w:eastAsia="Times New Roman" w:hAnsi="Times New Roman" w:cs="Times New Roman"/>
                <w:sz w:val="20"/>
                <w:szCs w:val="20"/>
                <w:lang w:eastAsia="pl-PL"/>
              </w:rPr>
              <w:t>”</w:t>
            </w:r>
          </w:p>
          <w:p w14:paraId="46A7513F" w14:textId="32FCC88B" w:rsidR="0080306F" w:rsidRDefault="0080306F" w:rsidP="0080306F">
            <w:pPr>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Wskazanie w projekcie kolejnej przyczyny niegodności, opisanej jako </w:t>
            </w:r>
            <w:r w:rsidRPr="00694F71">
              <w:rPr>
                <w:rFonts w:ascii="Times New Roman" w:eastAsia="Times New Roman" w:hAnsi="Times New Roman" w:cs="Times New Roman"/>
                <w:sz w:val="20"/>
                <w:szCs w:val="20"/>
                <w:lang w:eastAsia="pl-PL"/>
              </w:rPr>
              <w:t xml:space="preserve">uporczywie </w:t>
            </w:r>
            <w:r w:rsidRPr="00252AD3">
              <w:rPr>
                <w:rFonts w:ascii="Times New Roman" w:eastAsia="Times New Roman" w:hAnsi="Times New Roman" w:cs="Times New Roman"/>
                <w:sz w:val="20"/>
                <w:szCs w:val="20"/>
                <w:lang w:eastAsia="pl-PL"/>
              </w:rPr>
              <w:t>uchylanie się od</w:t>
            </w:r>
            <w:r w:rsidRPr="00694F71">
              <w:rPr>
                <w:rFonts w:ascii="Times New Roman" w:eastAsia="Times New Roman" w:hAnsi="Times New Roman" w:cs="Times New Roman"/>
                <w:sz w:val="20"/>
                <w:szCs w:val="20"/>
                <w:lang w:eastAsia="pl-PL"/>
              </w:rPr>
              <w:t xml:space="preserve"> </w:t>
            </w:r>
            <w:r w:rsidRPr="00694F71">
              <w:rPr>
                <w:rFonts w:ascii="Times New Roman" w:eastAsia="Times New Roman" w:hAnsi="Times New Roman" w:cs="Times New Roman"/>
                <w:b/>
                <w:sz w:val="20"/>
                <w:szCs w:val="20"/>
                <w:lang w:eastAsia="pl-PL"/>
              </w:rPr>
              <w:t>sprawowania opieki</w:t>
            </w:r>
            <w:r w:rsidRPr="00694F71">
              <w:rPr>
                <w:rFonts w:ascii="Times New Roman" w:eastAsia="Times New Roman" w:hAnsi="Times New Roman" w:cs="Times New Roman"/>
                <w:sz w:val="20"/>
                <w:szCs w:val="20"/>
                <w:lang w:eastAsia="pl-PL"/>
              </w:rPr>
              <w:t xml:space="preserve"> nad spadkodawcą</w:t>
            </w:r>
            <w:r>
              <w:rPr>
                <w:rFonts w:ascii="Times New Roman" w:eastAsia="Times New Roman" w:hAnsi="Times New Roman" w:cs="Times New Roman"/>
                <w:sz w:val="20"/>
                <w:szCs w:val="20"/>
                <w:lang w:eastAsia="pl-PL"/>
              </w:rPr>
              <w:t xml:space="preserve"> nie wydaje się rozwiązaniem trafnym z</w:t>
            </w:r>
            <w:r w:rsidRPr="00C77056">
              <w:rPr>
                <w:rFonts w:ascii="Times New Roman" w:eastAsia="Times New Roman" w:hAnsi="Times New Roman" w:cs="Times New Roman"/>
                <w:sz w:val="20"/>
                <w:szCs w:val="20"/>
                <w:lang w:eastAsia="pl-PL"/>
              </w:rPr>
              <w:t>ważywszy na wyeksponowany w uzasadnieniu projektu cel, jakim miałoby być uniemożliwienie dziedziczenia osobie, której działania i/lub zaniechania spowodowały u spadkodawcy „</w:t>
            </w:r>
            <w:r w:rsidRPr="00C77056">
              <w:rPr>
                <w:rFonts w:ascii="Times New Roman" w:eastAsia="Times New Roman" w:hAnsi="Times New Roman" w:cs="Times New Roman"/>
                <w:b/>
                <w:sz w:val="20"/>
                <w:szCs w:val="20"/>
                <w:lang w:eastAsia="pl-PL"/>
              </w:rPr>
              <w:t>poczucie odtrącenia, osamotnienia, pozostawania bez wsparcia osobistego lub emocjonalnego</w:t>
            </w:r>
            <w:r w:rsidRPr="00C77056">
              <w:rPr>
                <w:rFonts w:ascii="Times New Roman" w:eastAsia="Times New Roman" w:hAnsi="Times New Roman" w:cs="Times New Roman"/>
                <w:sz w:val="20"/>
                <w:szCs w:val="20"/>
                <w:lang w:eastAsia="pl-PL"/>
              </w:rPr>
              <w:t>”</w:t>
            </w:r>
            <w:r>
              <w:rPr>
                <w:rFonts w:ascii="Times New Roman" w:eastAsia="Times New Roman" w:hAnsi="Times New Roman" w:cs="Times New Roman"/>
                <w:sz w:val="20"/>
                <w:szCs w:val="20"/>
                <w:lang w:eastAsia="pl-PL"/>
              </w:rPr>
              <w:t xml:space="preserve">. Aby zrealizować taki cel </w:t>
            </w:r>
            <w:r w:rsidRPr="00C77056">
              <w:rPr>
                <w:rFonts w:ascii="Times New Roman" w:eastAsia="Times New Roman" w:hAnsi="Times New Roman" w:cs="Times New Roman"/>
                <w:sz w:val="20"/>
                <w:szCs w:val="20"/>
                <w:lang w:eastAsia="pl-PL"/>
              </w:rPr>
              <w:t xml:space="preserve">należałoby wskazać na rażące naruszenie obowiązków, których należyte wykonywanie, ze swej istoty, ma zapobiegać wyszczególnionym w uzasadnieniu odczuciom spadkodawcy. One zaś zwykle wiążą się z </w:t>
            </w:r>
            <w:r>
              <w:rPr>
                <w:rFonts w:ascii="Times New Roman" w:eastAsia="Times New Roman" w:hAnsi="Times New Roman" w:cs="Times New Roman"/>
                <w:sz w:val="20"/>
                <w:szCs w:val="20"/>
                <w:lang w:eastAsia="pl-PL"/>
              </w:rPr>
              <w:t>niewykonywaniem (bądź rażącym naruszaniem) obowiązków o różnej treści, wynikających z różnych instytucji prawa rodzinnego. (Przykładowo obowiązku</w:t>
            </w:r>
            <w:r w:rsidRPr="00C77056">
              <w:rPr>
                <w:rFonts w:ascii="Times New Roman" w:eastAsia="Times New Roman" w:hAnsi="Times New Roman" w:cs="Times New Roman"/>
                <w:sz w:val="20"/>
                <w:szCs w:val="20"/>
                <w:lang w:eastAsia="pl-PL"/>
              </w:rPr>
              <w:t xml:space="preserve"> wspólnego pożycia</w:t>
            </w:r>
            <w:r>
              <w:rPr>
                <w:rFonts w:ascii="Times New Roman" w:eastAsia="Times New Roman" w:hAnsi="Times New Roman" w:cs="Times New Roman"/>
                <w:sz w:val="20"/>
                <w:szCs w:val="20"/>
                <w:lang w:eastAsia="pl-PL"/>
              </w:rPr>
              <w:t xml:space="preserve"> małżeńskiego, pomocy, współdziałania, wzajemnego szacunku i wspierania się, </w:t>
            </w:r>
            <w:r w:rsidRPr="00C77056">
              <w:rPr>
                <w:rFonts w:ascii="Times New Roman" w:eastAsia="Times New Roman" w:hAnsi="Times New Roman" w:cs="Times New Roman"/>
                <w:sz w:val="20"/>
                <w:szCs w:val="20"/>
                <w:lang w:eastAsia="pl-PL"/>
              </w:rPr>
              <w:t xml:space="preserve">wykonywania osobistej </w:t>
            </w:r>
            <w:r w:rsidR="00B96435" w:rsidRPr="00C77056">
              <w:rPr>
                <w:rFonts w:ascii="Times New Roman" w:eastAsia="Times New Roman" w:hAnsi="Times New Roman" w:cs="Times New Roman"/>
                <w:sz w:val="20"/>
                <w:szCs w:val="20"/>
                <w:lang w:eastAsia="pl-PL"/>
              </w:rPr>
              <w:t>pieczy,</w:t>
            </w:r>
            <w:r w:rsidRPr="00C77056">
              <w:rPr>
                <w:rFonts w:ascii="Times New Roman" w:eastAsia="Times New Roman" w:hAnsi="Times New Roman" w:cs="Times New Roman"/>
                <w:sz w:val="20"/>
                <w:szCs w:val="20"/>
                <w:lang w:eastAsia="pl-PL"/>
              </w:rPr>
              <w:t xml:space="preserve"> nad osobą której wiek bądź stan psychofizyczny tego wymaga</w:t>
            </w:r>
            <w:r>
              <w:rPr>
                <w:rFonts w:ascii="Times New Roman" w:eastAsia="Times New Roman" w:hAnsi="Times New Roman" w:cs="Times New Roman"/>
                <w:sz w:val="20"/>
                <w:szCs w:val="20"/>
                <w:lang w:eastAsia="pl-PL"/>
              </w:rPr>
              <w:t>)</w:t>
            </w:r>
            <w:r w:rsidRPr="00C77056">
              <w:rPr>
                <w:rFonts w:ascii="Times New Roman" w:eastAsia="Times New Roman" w:hAnsi="Times New Roman" w:cs="Times New Roman"/>
                <w:sz w:val="20"/>
                <w:szCs w:val="20"/>
                <w:lang w:eastAsia="pl-PL"/>
              </w:rPr>
              <w:t xml:space="preserve">. Wypracowanie właściwego sposobu realizacji tego </w:t>
            </w:r>
            <w:r w:rsidR="00B96435" w:rsidRPr="00C77056">
              <w:rPr>
                <w:rFonts w:ascii="Times New Roman" w:eastAsia="Times New Roman" w:hAnsi="Times New Roman" w:cs="Times New Roman"/>
                <w:sz w:val="20"/>
                <w:szCs w:val="20"/>
                <w:lang w:eastAsia="pl-PL"/>
              </w:rPr>
              <w:t>celu</w:t>
            </w:r>
            <w:r w:rsidRPr="00C77056">
              <w:rPr>
                <w:rFonts w:ascii="Times New Roman" w:eastAsia="Times New Roman" w:hAnsi="Times New Roman" w:cs="Times New Roman"/>
                <w:sz w:val="20"/>
                <w:szCs w:val="20"/>
                <w:lang w:eastAsia="pl-PL"/>
              </w:rPr>
              <w:t xml:space="preserve"> oraz znalezienie adekwatnego</w:t>
            </w:r>
            <w:r>
              <w:rPr>
                <w:rFonts w:ascii="Times New Roman" w:eastAsia="Times New Roman" w:hAnsi="Times New Roman" w:cs="Times New Roman"/>
                <w:sz w:val="20"/>
                <w:szCs w:val="20"/>
                <w:lang w:eastAsia="pl-PL"/>
              </w:rPr>
              <w:t>, maksymalnie precyzyjnego</w:t>
            </w:r>
            <w:r w:rsidRPr="00C77056">
              <w:rPr>
                <w:rFonts w:ascii="Times New Roman" w:eastAsia="Times New Roman" w:hAnsi="Times New Roman" w:cs="Times New Roman"/>
                <w:sz w:val="20"/>
                <w:szCs w:val="20"/>
                <w:lang w:eastAsia="pl-PL"/>
              </w:rPr>
              <w:t xml:space="preserve"> jego sformułowania w przepisie </w:t>
            </w:r>
            <w:r>
              <w:rPr>
                <w:rFonts w:ascii="Times New Roman" w:eastAsia="Times New Roman" w:hAnsi="Times New Roman" w:cs="Times New Roman"/>
                <w:sz w:val="20"/>
                <w:szCs w:val="20"/>
                <w:lang w:eastAsia="pl-PL"/>
              </w:rPr>
              <w:t>jest bardzo trudne. Próba podjęta w</w:t>
            </w:r>
            <w:r w:rsidRPr="00C77056">
              <w:rPr>
                <w:rFonts w:ascii="Times New Roman" w:eastAsia="Times New Roman" w:hAnsi="Times New Roman" w:cs="Times New Roman"/>
                <w:sz w:val="20"/>
                <w:szCs w:val="20"/>
                <w:lang w:eastAsia="pl-PL"/>
              </w:rPr>
              <w:t xml:space="preserve"> proj</w:t>
            </w:r>
            <w:r>
              <w:rPr>
                <w:rFonts w:ascii="Times New Roman" w:eastAsia="Times New Roman" w:hAnsi="Times New Roman" w:cs="Times New Roman"/>
                <w:sz w:val="20"/>
                <w:szCs w:val="20"/>
                <w:lang w:eastAsia="pl-PL"/>
              </w:rPr>
              <w:t>ekcie nowelizacji („</w:t>
            </w:r>
            <w:r w:rsidRPr="00DD7F1E">
              <w:rPr>
                <w:rFonts w:ascii="Times New Roman" w:eastAsia="Times New Roman" w:hAnsi="Times New Roman" w:cs="Times New Roman"/>
                <w:sz w:val="20"/>
                <w:szCs w:val="20"/>
                <w:lang w:eastAsia="pl-PL"/>
              </w:rPr>
              <w:t>uporczywie uchylanie się od sprawowania opieki</w:t>
            </w:r>
            <w:r>
              <w:rPr>
                <w:rFonts w:ascii="Times New Roman" w:eastAsia="Times New Roman" w:hAnsi="Times New Roman" w:cs="Times New Roman"/>
                <w:sz w:val="20"/>
                <w:szCs w:val="20"/>
                <w:lang w:eastAsia="pl-PL"/>
              </w:rPr>
              <w:t xml:space="preserve">”) nie wydaje się zadawalająca. </w:t>
            </w:r>
          </w:p>
          <w:p w14:paraId="7A30350D" w14:textId="52AA7CAF" w:rsidR="0080306F" w:rsidRPr="0019403C" w:rsidRDefault="0080306F" w:rsidP="0080306F">
            <w:pPr>
              <w:jc w:val="both"/>
              <w:rPr>
                <w:rFonts w:ascii="Times New Roman" w:eastAsia="Times New Roman" w:hAnsi="Times New Roman" w:cs="Times New Roman"/>
                <w:sz w:val="20"/>
                <w:lang w:eastAsia="pl-PL"/>
              </w:rPr>
            </w:pPr>
            <w:r w:rsidRPr="00167A1A">
              <w:rPr>
                <w:rFonts w:ascii="Times New Roman" w:eastAsia="Times New Roman" w:hAnsi="Times New Roman" w:cs="Times New Roman"/>
                <w:sz w:val="20"/>
                <w:szCs w:val="20"/>
                <w:lang w:eastAsia="pl-PL"/>
              </w:rPr>
              <w:t xml:space="preserve">Uchylanie się od sprawowania opieki może </w:t>
            </w:r>
            <w:r>
              <w:rPr>
                <w:rFonts w:ascii="Times New Roman" w:eastAsia="Times New Roman" w:hAnsi="Times New Roman" w:cs="Times New Roman"/>
                <w:sz w:val="20"/>
                <w:szCs w:val="20"/>
                <w:lang w:eastAsia="pl-PL"/>
              </w:rPr>
              <w:t xml:space="preserve">bowiem </w:t>
            </w:r>
            <w:r w:rsidRPr="00167A1A">
              <w:rPr>
                <w:rFonts w:ascii="Times New Roman" w:eastAsia="Times New Roman" w:hAnsi="Times New Roman" w:cs="Times New Roman"/>
                <w:sz w:val="20"/>
                <w:szCs w:val="20"/>
                <w:lang w:eastAsia="pl-PL"/>
              </w:rPr>
              <w:t xml:space="preserve">dotyczyć wyłącznie sytuacji, gdy </w:t>
            </w:r>
            <w:r w:rsidRPr="00167A1A">
              <w:rPr>
                <w:rFonts w:ascii="Times New Roman" w:eastAsia="Times New Roman" w:hAnsi="Times New Roman" w:cs="Times New Roman"/>
                <w:b/>
                <w:sz w:val="20"/>
                <w:szCs w:val="20"/>
                <w:lang w:eastAsia="pl-PL"/>
              </w:rPr>
              <w:t>sąd opiekuńczy orzekł o ustanowieniu danej osoby opiekunem</w:t>
            </w:r>
            <w:r w:rsidRPr="00167A1A">
              <w:rPr>
                <w:rFonts w:ascii="Times New Roman" w:eastAsia="Times New Roman" w:hAnsi="Times New Roman" w:cs="Times New Roman"/>
                <w:sz w:val="20"/>
                <w:szCs w:val="20"/>
                <w:lang w:eastAsia="pl-PL"/>
              </w:rPr>
              <w:t xml:space="preserve"> </w:t>
            </w:r>
            <w:r w:rsidR="00B96435" w:rsidRPr="00456A4D">
              <w:rPr>
                <w:rFonts w:ascii="Times New Roman" w:eastAsia="Times New Roman" w:hAnsi="Times New Roman" w:cs="Times New Roman"/>
                <w:b/>
                <w:sz w:val="20"/>
                <w:szCs w:val="20"/>
                <w:lang w:eastAsia="pl-PL"/>
              </w:rPr>
              <w:t>spadkodawcy</w:t>
            </w:r>
            <w:r w:rsidRPr="00456A4D">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t xml:space="preserve">jako </w:t>
            </w:r>
            <w:r w:rsidRPr="00167A1A">
              <w:rPr>
                <w:rFonts w:ascii="Times New Roman" w:eastAsia="Times New Roman" w:hAnsi="Times New Roman" w:cs="Times New Roman"/>
                <w:sz w:val="20"/>
                <w:szCs w:val="20"/>
                <w:lang w:eastAsia="pl-PL"/>
              </w:rPr>
              <w:t>osoby całkowicie ubezwłasnowolnionej bądź małoletniej nie pozostającej (z różnych przyczyn) pod władzą rodzicielską.</w:t>
            </w:r>
            <w:r>
              <w:rPr>
                <w:rFonts w:ascii="Times New Roman" w:eastAsia="Times New Roman" w:hAnsi="Times New Roman" w:cs="Times New Roman"/>
                <w:sz w:val="20"/>
                <w:szCs w:val="20"/>
                <w:lang w:eastAsia="pl-PL"/>
              </w:rPr>
              <w:t xml:space="preserve"> Należy zważyć, że z</w:t>
            </w:r>
            <w:r w:rsidRPr="00EA5E15">
              <w:rPr>
                <w:rFonts w:ascii="Times New Roman" w:eastAsia="Times New Roman" w:hAnsi="Times New Roman" w:cs="Times New Roman"/>
                <w:sz w:val="20"/>
                <w:szCs w:val="20"/>
                <w:lang w:eastAsia="pl-PL"/>
              </w:rPr>
              <w:t xml:space="preserve">godnie z art. 148 § 2 k.r.o., „nie może być ustanowiony opiekunem ten, w stosunku do kogo zachodzi prawdopodobieństwo, że nie wywiąże się </w:t>
            </w:r>
            <w:r>
              <w:rPr>
                <w:rFonts w:ascii="Times New Roman" w:eastAsia="Times New Roman" w:hAnsi="Times New Roman" w:cs="Times New Roman"/>
                <w:sz w:val="20"/>
                <w:szCs w:val="20"/>
                <w:lang w:eastAsia="pl-PL"/>
              </w:rPr>
              <w:t xml:space="preserve">należycie z obowiązków opiekuna”. Sprawowanie opieki podlega </w:t>
            </w:r>
            <w:r w:rsidRPr="003F53CC">
              <w:rPr>
                <w:rFonts w:ascii="Times New Roman" w:eastAsia="Times New Roman" w:hAnsi="Times New Roman" w:cs="Times New Roman"/>
                <w:b/>
                <w:sz w:val="20"/>
                <w:szCs w:val="20"/>
                <w:lang w:eastAsia="pl-PL"/>
              </w:rPr>
              <w:t>stałemu nadzorowi sądu opiekuńczego</w:t>
            </w:r>
            <w:r>
              <w:rPr>
                <w:rFonts w:ascii="Times New Roman" w:eastAsia="Times New Roman" w:hAnsi="Times New Roman" w:cs="Times New Roman"/>
                <w:sz w:val="20"/>
                <w:szCs w:val="20"/>
                <w:lang w:eastAsia="pl-PL"/>
              </w:rPr>
              <w:t xml:space="preserve"> (art. 165 k.r.o.). </w:t>
            </w:r>
            <w:r w:rsidRPr="00A13237">
              <w:rPr>
                <w:rFonts w:ascii="Times New Roman" w:eastAsia="Times New Roman" w:hAnsi="Times New Roman" w:cs="Times New Roman"/>
                <w:sz w:val="20"/>
                <w:szCs w:val="20"/>
                <w:lang w:eastAsia="pl-PL"/>
              </w:rPr>
              <w:t>W sytuacji modelowej nie mieszczą się więc przypadki uporczywego</w:t>
            </w:r>
            <w:r w:rsidRPr="00DD099B">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bCs/>
                <w:sz w:val="20"/>
                <w:szCs w:val="20"/>
                <w:lang w:eastAsia="pl-PL"/>
              </w:rPr>
              <w:t>czyli „</w:t>
            </w:r>
            <w:r w:rsidRPr="00740E8A">
              <w:rPr>
                <w:rFonts w:ascii="Times New Roman" w:eastAsia="Times New Roman" w:hAnsi="Times New Roman" w:cs="Times New Roman"/>
                <w:bCs/>
                <w:i/>
                <w:sz w:val="20"/>
                <w:szCs w:val="20"/>
                <w:lang w:eastAsia="pl-PL"/>
              </w:rPr>
              <w:t>długotrwałego, powtarzalnego, nacechowanego złą wolą i nieustępliwością</w:t>
            </w:r>
            <w:r w:rsidRPr="00DD099B">
              <w:rPr>
                <w:rFonts w:ascii="Times New Roman" w:eastAsia="Times New Roman" w:hAnsi="Times New Roman" w:cs="Times New Roman"/>
                <w:bCs/>
                <w:sz w:val="20"/>
                <w:szCs w:val="20"/>
                <w:lang w:eastAsia="pl-PL"/>
              </w:rPr>
              <w:t>”, „</w:t>
            </w:r>
            <w:r w:rsidRPr="00740E8A">
              <w:rPr>
                <w:rFonts w:ascii="Times New Roman" w:eastAsia="Times New Roman" w:hAnsi="Times New Roman" w:cs="Times New Roman"/>
                <w:bCs/>
                <w:i/>
                <w:sz w:val="20"/>
                <w:szCs w:val="20"/>
                <w:lang w:eastAsia="pl-PL"/>
              </w:rPr>
              <w:t>świadomego</w:t>
            </w:r>
            <w:r w:rsidRPr="00DD099B">
              <w:rPr>
                <w:rFonts w:ascii="Times New Roman" w:eastAsia="Times New Roman" w:hAnsi="Times New Roman" w:cs="Times New Roman"/>
                <w:bCs/>
                <w:sz w:val="20"/>
                <w:szCs w:val="20"/>
                <w:lang w:eastAsia="pl-PL"/>
              </w:rPr>
              <w:t>” oraz „</w:t>
            </w:r>
            <w:r w:rsidRPr="00740E8A">
              <w:rPr>
                <w:rFonts w:ascii="Times New Roman" w:eastAsia="Times New Roman" w:hAnsi="Times New Roman" w:cs="Times New Roman"/>
                <w:bCs/>
                <w:i/>
                <w:sz w:val="20"/>
                <w:szCs w:val="20"/>
                <w:lang w:eastAsia="pl-PL"/>
              </w:rPr>
              <w:t>ukierunkowanego</w:t>
            </w:r>
            <w:r w:rsidRPr="00DD099B">
              <w:rPr>
                <w:rFonts w:ascii="Times New Roman" w:eastAsia="Times New Roman" w:hAnsi="Times New Roman" w:cs="Times New Roman"/>
                <w:bCs/>
                <w:sz w:val="20"/>
                <w:szCs w:val="20"/>
                <w:lang w:eastAsia="pl-PL"/>
              </w:rPr>
              <w:t>”)</w:t>
            </w:r>
            <w:r w:rsidRPr="00456A4D">
              <w:rPr>
                <w:rFonts w:ascii="Times New Roman" w:eastAsia="Times New Roman" w:hAnsi="Times New Roman" w:cs="Times New Roman"/>
                <w:sz w:val="20"/>
                <w:szCs w:val="20"/>
                <w:lang w:eastAsia="pl-PL"/>
              </w:rPr>
              <w:t xml:space="preserve"> </w:t>
            </w:r>
            <w:r w:rsidRPr="00A13237">
              <w:rPr>
                <w:rFonts w:ascii="Times New Roman" w:eastAsia="Times New Roman" w:hAnsi="Times New Roman" w:cs="Times New Roman"/>
                <w:sz w:val="20"/>
                <w:szCs w:val="20"/>
                <w:lang w:eastAsia="pl-PL"/>
              </w:rPr>
              <w:t xml:space="preserve">uchylania się od sprawowania obowiązków wynikających ze statusu </w:t>
            </w:r>
            <w:r w:rsidRPr="00A13237">
              <w:rPr>
                <w:rFonts w:ascii="Times New Roman" w:eastAsia="Times New Roman" w:hAnsi="Times New Roman" w:cs="Times New Roman"/>
                <w:sz w:val="20"/>
                <w:szCs w:val="20"/>
                <w:lang w:eastAsia="pl-PL"/>
              </w:rPr>
              <w:lastRenderedPageBreak/>
              <w:t>prawnego opiekuna</w:t>
            </w:r>
            <w:r>
              <w:rPr>
                <w:rFonts w:ascii="Times New Roman" w:eastAsia="Times New Roman" w:hAnsi="Times New Roman" w:cs="Times New Roman"/>
                <w:sz w:val="20"/>
                <w:szCs w:val="20"/>
                <w:lang w:eastAsia="pl-PL"/>
              </w:rPr>
              <w:t xml:space="preserve">. Sąd w ramach sprawowania nadzoru, </w:t>
            </w:r>
            <w:r w:rsidRPr="003F53CC">
              <w:rPr>
                <w:rFonts w:ascii="Times New Roman" w:eastAsia="Times New Roman" w:hAnsi="Times New Roman" w:cs="Times New Roman"/>
                <w:b/>
                <w:sz w:val="20"/>
                <w:szCs w:val="20"/>
                <w:lang w:eastAsia="pl-PL"/>
              </w:rPr>
              <w:t xml:space="preserve">stwierdziwszy zaniedbania opiekuna, które naruszają dobro osoby pozostającej pod opieką jest </w:t>
            </w:r>
            <w:r w:rsidRPr="007700FA">
              <w:rPr>
                <w:rFonts w:ascii="Times New Roman" w:eastAsia="Times New Roman" w:hAnsi="Times New Roman" w:cs="Times New Roman"/>
                <w:b/>
                <w:sz w:val="20"/>
                <w:szCs w:val="20"/>
                <w:u w:val="single"/>
                <w:lang w:eastAsia="pl-PL"/>
              </w:rPr>
              <w:t>zobowiązany</w:t>
            </w:r>
            <w:r w:rsidRPr="003F53CC">
              <w:rPr>
                <w:rFonts w:ascii="Times New Roman" w:eastAsia="Times New Roman" w:hAnsi="Times New Roman" w:cs="Times New Roman"/>
                <w:b/>
                <w:sz w:val="20"/>
                <w:szCs w:val="20"/>
                <w:lang w:eastAsia="pl-PL"/>
              </w:rPr>
              <w:t xml:space="preserve"> do zwolnienia opiekuna</w:t>
            </w:r>
            <w:r>
              <w:rPr>
                <w:rFonts w:ascii="Times New Roman" w:eastAsia="Times New Roman" w:hAnsi="Times New Roman" w:cs="Times New Roman"/>
                <w:sz w:val="20"/>
                <w:szCs w:val="20"/>
                <w:lang w:eastAsia="pl-PL"/>
              </w:rPr>
              <w:t xml:space="preserve"> (art. 169 § 2 k.r.o.). Zapewne odstępstwa od sytuacji modelowej występują. Skala odstępstw musiałaby być bardzo poważna, aby przedstawiona w projekcie propozycja wydziedziczenia z takiej przyczyny była celowa. </w:t>
            </w:r>
            <w:r w:rsidRPr="00704297">
              <w:rPr>
                <w:rFonts w:ascii="Times New Roman" w:eastAsia="Times New Roman" w:hAnsi="Times New Roman" w:cs="Times New Roman"/>
                <w:sz w:val="20"/>
                <w:szCs w:val="20"/>
                <w:lang w:eastAsia="pl-PL"/>
              </w:rPr>
              <w:t xml:space="preserve">Jednakże </w:t>
            </w:r>
            <w:r>
              <w:rPr>
                <w:rFonts w:ascii="Times New Roman" w:eastAsia="Times New Roman" w:hAnsi="Times New Roman" w:cs="Times New Roman"/>
                <w:sz w:val="20"/>
                <w:szCs w:val="20"/>
                <w:lang w:eastAsia="pl-PL"/>
              </w:rPr>
              <w:t xml:space="preserve">byłaby ona równoznaczna ze </w:t>
            </w:r>
            <w:r w:rsidRPr="00BC5777">
              <w:rPr>
                <w:rFonts w:ascii="Times New Roman" w:eastAsia="Times New Roman" w:hAnsi="Times New Roman" w:cs="Times New Roman"/>
                <w:sz w:val="20"/>
                <w:szCs w:val="20"/>
                <w:lang w:eastAsia="pl-PL"/>
              </w:rPr>
              <w:t xml:space="preserve">skrajnie negatywną oceną </w:t>
            </w:r>
            <w:r>
              <w:rPr>
                <w:rFonts w:ascii="Times New Roman" w:eastAsia="Times New Roman" w:hAnsi="Times New Roman" w:cs="Times New Roman"/>
                <w:sz w:val="20"/>
                <w:szCs w:val="20"/>
                <w:lang w:eastAsia="pl-PL"/>
              </w:rPr>
              <w:t xml:space="preserve">zarówno ustanawiania określonej osoby opiekunem, bez wystarczającej wstępnej weryfikacji jej zdolności do należytego wypełniania funkcji opiekuna określonej osoby w danym stanie faktycznym, jak i </w:t>
            </w:r>
            <w:r w:rsidRPr="00BC5777">
              <w:rPr>
                <w:rFonts w:ascii="Times New Roman" w:eastAsia="Times New Roman" w:hAnsi="Times New Roman" w:cs="Times New Roman"/>
                <w:sz w:val="20"/>
                <w:szCs w:val="20"/>
                <w:lang w:eastAsia="pl-PL"/>
              </w:rPr>
              <w:t>nadzoru sądowego nad sprawowaniem opieki</w:t>
            </w:r>
            <w:r>
              <w:rPr>
                <w:rFonts w:ascii="Times New Roman" w:eastAsia="Times New Roman" w:hAnsi="Times New Roman" w:cs="Times New Roman"/>
                <w:sz w:val="20"/>
                <w:szCs w:val="20"/>
                <w:lang w:eastAsia="pl-PL"/>
              </w:rPr>
              <w:t>. Taka ocena zaś, wymagałaby pilnego doprowadzenie do zmiany praktyki odnośnie do sprawowania przez sąd nadzoru nad wykonywaniem opieki i (zapewne) „doposażenia” sądów w stosowne, skuteczne narzędzia kontrolne (o ile aktualnie będące w ich dyspozycji zostałyby ocenione, jako niewystarczające;</w:t>
            </w:r>
            <w:r w:rsidRPr="00456A4D">
              <w:rPr>
                <w:rFonts w:ascii="Times New Roman" w:eastAsia="Times New Roman" w:hAnsi="Times New Roman" w:cs="Times New Roman"/>
                <w:sz w:val="20"/>
                <w:szCs w:val="20"/>
                <w:lang w:eastAsia="pl-PL"/>
              </w:rPr>
              <w:t xml:space="preserve"> nadzór, nie może wyrażać się wyłącznie w zapoznawaniu się ze sprawozdaniami składanymi przez opiekunów</w:t>
            </w:r>
            <w:r>
              <w:rPr>
                <w:rFonts w:ascii="Times New Roman" w:eastAsia="Times New Roman" w:hAnsi="Times New Roman" w:cs="Times New Roman"/>
                <w:sz w:val="20"/>
                <w:szCs w:val="20"/>
                <w:lang w:eastAsia="pl-PL"/>
              </w:rPr>
              <w:t>). Prawdopodobnie potrzebne byłoby dokonanie zmian organizacyjnych urealniających bieżący nadzór nad sprawowaniem opieki.</w:t>
            </w:r>
          </w:p>
        </w:tc>
        <w:tc>
          <w:tcPr>
            <w:tcW w:w="4056" w:type="dxa"/>
          </w:tcPr>
          <w:p w14:paraId="4793EC57" w14:textId="7E16BD2F" w:rsidR="00EF3211" w:rsidRDefault="00EF3211" w:rsidP="00EF3211">
            <w:pPr>
              <w:autoSpaceDE w:val="0"/>
              <w:autoSpaceDN w:val="0"/>
              <w:adjustRightInd w:val="0"/>
              <w:jc w:val="both"/>
              <w:rPr>
                <w:rFonts w:ascii="Times New Roman" w:eastAsia="Times New Roman" w:hAnsi="Times New Roman" w:cs="Times New Roman"/>
                <w:b/>
                <w:bCs/>
                <w:sz w:val="20"/>
                <w:szCs w:val="20"/>
                <w:lang w:eastAsia="pl-PL"/>
              </w:rPr>
            </w:pPr>
            <w:r w:rsidRPr="005257FC">
              <w:rPr>
                <w:rFonts w:ascii="Times New Roman" w:eastAsia="Times New Roman" w:hAnsi="Times New Roman" w:cs="Times New Roman"/>
                <w:b/>
                <w:bCs/>
                <w:sz w:val="20"/>
                <w:szCs w:val="20"/>
                <w:lang w:eastAsia="pl-PL"/>
              </w:rPr>
              <w:lastRenderedPageBreak/>
              <w:t xml:space="preserve">Uwaga </w:t>
            </w:r>
            <w:r>
              <w:rPr>
                <w:rFonts w:ascii="Times New Roman" w:eastAsia="Times New Roman" w:hAnsi="Times New Roman" w:cs="Times New Roman"/>
                <w:b/>
                <w:bCs/>
                <w:sz w:val="20"/>
                <w:szCs w:val="20"/>
                <w:lang w:eastAsia="pl-PL"/>
              </w:rPr>
              <w:t xml:space="preserve">częściowo </w:t>
            </w:r>
            <w:r w:rsidRPr="005257FC">
              <w:rPr>
                <w:rFonts w:ascii="Times New Roman" w:eastAsia="Times New Roman" w:hAnsi="Times New Roman" w:cs="Times New Roman"/>
                <w:b/>
                <w:bCs/>
                <w:sz w:val="20"/>
                <w:szCs w:val="20"/>
                <w:lang w:eastAsia="pl-PL"/>
              </w:rPr>
              <w:t>uwzględniona</w:t>
            </w:r>
            <w:r w:rsidR="00286D6A">
              <w:rPr>
                <w:rFonts w:ascii="Times New Roman" w:eastAsia="Times New Roman" w:hAnsi="Times New Roman" w:cs="Times New Roman"/>
                <w:b/>
                <w:bCs/>
                <w:sz w:val="20"/>
                <w:szCs w:val="20"/>
                <w:lang w:eastAsia="pl-PL"/>
              </w:rPr>
              <w:t xml:space="preserve"> i wyjaśnienie</w:t>
            </w:r>
          </w:p>
          <w:p w14:paraId="0804DE35" w14:textId="77777777" w:rsidR="00393C8B" w:rsidRDefault="00393C8B" w:rsidP="00EF3211">
            <w:pPr>
              <w:autoSpaceDE w:val="0"/>
              <w:autoSpaceDN w:val="0"/>
              <w:adjustRightInd w:val="0"/>
              <w:jc w:val="both"/>
              <w:rPr>
                <w:rFonts w:ascii="Times New Roman" w:eastAsia="Times New Roman" w:hAnsi="Times New Roman" w:cs="Times New Roman"/>
                <w:b/>
                <w:bCs/>
                <w:sz w:val="20"/>
                <w:szCs w:val="20"/>
                <w:lang w:eastAsia="pl-PL"/>
              </w:rPr>
            </w:pPr>
          </w:p>
          <w:p w14:paraId="6E03DE5D" w14:textId="71CB9BB0" w:rsidR="00EF3211" w:rsidRPr="005837F8" w:rsidRDefault="00EF3211" w:rsidP="00EF3211">
            <w:pPr>
              <w:autoSpaceDE w:val="0"/>
              <w:autoSpaceDN w:val="0"/>
              <w:adjustRightInd w:val="0"/>
              <w:jc w:val="both"/>
              <w:rPr>
                <w:rFonts w:ascii="Times New Roman" w:eastAsia="Times New Roman" w:hAnsi="Times New Roman" w:cs="Times New Roman"/>
                <w:sz w:val="20"/>
                <w:szCs w:val="20"/>
                <w:u w:val="single"/>
                <w:lang w:eastAsia="pl-PL"/>
              </w:rPr>
            </w:pPr>
            <w:r>
              <w:rPr>
                <w:rFonts w:ascii="Times New Roman" w:eastAsia="Times New Roman" w:hAnsi="Times New Roman" w:cs="Times New Roman"/>
                <w:sz w:val="20"/>
                <w:szCs w:val="20"/>
                <w:lang w:eastAsia="pl-PL"/>
              </w:rPr>
              <w:t xml:space="preserve">Wskazać należy, że rażące naruszenie obowiązku alimentacyjnego wobec spadkodawcy uzasadniające uznanie spadkobiercy za niegodnego może mieć również miejsce w </w:t>
            </w:r>
            <w:r w:rsidR="00B96435">
              <w:rPr>
                <w:rFonts w:ascii="Times New Roman" w:eastAsia="Times New Roman" w:hAnsi="Times New Roman" w:cs="Times New Roman"/>
                <w:sz w:val="20"/>
                <w:szCs w:val="20"/>
                <w:lang w:eastAsia="pl-PL"/>
              </w:rPr>
              <w:t>sytuacji,</w:t>
            </w:r>
            <w:r>
              <w:rPr>
                <w:rFonts w:ascii="Times New Roman" w:eastAsia="Times New Roman" w:hAnsi="Times New Roman" w:cs="Times New Roman"/>
                <w:sz w:val="20"/>
                <w:szCs w:val="20"/>
                <w:lang w:eastAsia="pl-PL"/>
              </w:rPr>
              <w:t xml:space="preserve"> gdy brak jest</w:t>
            </w:r>
            <w:r w:rsidR="008F244E">
              <w:rPr>
                <w:rFonts w:ascii="Times New Roman" w:eastAsia="Times New Roman" w:hAnsi="Times New Roman" w:cs="Times New Roman"/>
                <w:sz w:val="20"/>
                <w:szCs w:val="20"/>
                <w:lang w:eastAsia="pl-PL"/>
              </w:rPr>
              <w:t xml:space="preserve"> orzeczenia sądowego, ugody zawartej przed sądem albo innym organem albo innej umowy konkretyzując</w:t>
            </w:r>
            <w:r w:rsidR="00286D6A">
              <w:rPr>
                <w:rFonts w:ascii="Times New Roman" w:eastAsia="Times New Roman" w:hAnsi="Times New Roman" w:cs="Times New Roman"/>
                <w:sz w:val="20"/>
                <w:szCs w:val="20"/>
                <w:lang w:eastAsia="pl-PL"/>
              </w:rPr>
              <w:t>ej</w:t>
            </w:r>
            <w:r w:rsidR="008F244E">
              <w:rPr>
                <w:rFonts w:ascii="Times New Roman" w:eastAsia="Times New Roman" w:hAnsi="Times New Roman" w:cs="Times New Roman"/>
                <w:sz w:val="20"/>
                <w:szCs w:val="20"/>
                <w:lang w:eastAsia="pl-PL"/>
              </w:rPr>
              <w:t xml:space="preserve"> taki obowiązek.</w:t>
            </w:r>
            <w:r w:rsidR="00B0008C">
              <w:rPr>
                <w:rFonts w:ascii="Times New Roman" w:eastAsia="Times New Roman" w:hAnsi="Times New Roman" w:cs="Times New Roman"/>
                <w:sz w:val="20"/>
                <w:szCs w:val="20"/>
                <w:lang w:eastAsia="pl-PL"/>
              </w:rPr>
              <w:t xml:space="preserve"> </w:t>
            </w:r>
            <w:r w:rsidR="00B0008C" w:rsidRPr="005837F8">
              <w:rPr>
                <w:rFonts w:ascii="Times New Roman" w:eastAsia="Times New Roman" w:hAnsi="Times New Roman" w:cs="Times New Roman"/>
                <w:sz w:val="20"/>
                <w:szCs w:val="20"/>
                <w:u w:val="single"/>
                <w:lang w:eastAsia="pl-PL"/>
              </w:rPr>
              <w:t xml:space="preserve">Celem projektodawcy nie było </w:t>
            </w:r>
            <w:r w:rsidR="002E7ACF" w:rsidRPr="005837F8">
              <w:rPr>
                <w:rFonts w:ascii="Times New Roman" w:eastAsia="Times New Roman" w:hAnsi="Times New Roman" w:cs="Times New Roman"/>
                <w:sz w:val="20"/>
                <w:szCs w:val="20"/>
                <w:u w:val="single"/>
                <w:lang w:eastAsia="pl-PL"/>
              </w:rPr>
              <w:t xml:space="preserve">wprowadzenie </w:t>
            </w:r>
            <w:r w:rsidR="002E7ACF" w:rsidRPr="005837F8">
              <w:rPr>
                <w:rFonts w:ascii="Times New Roman" w:eastAsia="Times New Roman" w:hAnsi="Times New Roman" w:cs="Times New Roman"/>
                <w:sz w:val="20"/>
                <w:szCs w:val="20"/>
                <w:u w:val="single"/>
                <w:lang w:eastAsia="pl-PL"/>
              </w:rPr>
              <w:lastRenderedPageBreak/>
              <w:t>ograniczenia tylko do sytuacji, gdy spadkodawca wystąpił z roszczeniem alimentacyjnym wobec spadkobiercy.</w:t>
            </w:r>
            <w:r w:rsidR="00B0008C" w:rsidRPr="005837F8">
              <w:rPr>
                <w:rFonts w:ascii="Times New Roman" w:eastAsia="Times New Roman" w:hAnsi="Times New Roman" w:cs="Times New Roman"/>
                <w:sz w:val="20"/>
                <w:szCs w:val="20"/>
                <w:u w:val="single"/>
                <w:lang w:eastAsia="pl-PL"/>
              </w:rPr>
              <w:t xml:space="preserve"> </w:t>
            </w:r>
          </w:p>
          <w:p w14:paraId="47833229" w14:textId="31EF5BC2" w:rsidR="008F244E" w:rsidRDefault="00B0008C" w:rsidP="00EF3211">
            <w:pPr>
              <w:autoSpaceDE w:val="0"/>
              <w:autoSpaceDN w:val="0"/>
              <w:adjustRightInd w:val="0"/>
              <w:jc w:val="both"/>
              <w:rPr>
                <w:rFonts w:ascii="Times New Roman" w:eastAsia="Times New Roman" w:hAnsi="Times New Roman" w:cs="Times New Roman"/>
                <w:sz w:val="20"/>
                <w:szCs w:val="20"/>
                <w:lang w:eastAsia="pl-PL"/>
              </w:rPr>
            </w:pPr>
            <w:r w:rsidRPr="00B0008C">
              <w:rPr>
                <w:rFonts w:ascii="Times New Roman" w:eastAsia="Times New Roman" w:hAnsi="Times New Roman" w:cs="Times New Roman"/>
                <w:sz w:val="20"/>
                <w:szCs w:val="20"/>
                <w:lang w:eastAsia="pl-PL"/>
              </w:rPr>
              <w:t>Odnośnie obowiązku alimentacyjnego należy wskazać, że jego treść i zakres regulują przepisy Kodeksu rodzinnego i opiekuńczego</w:t>
            </w:r>
            <w:r w:rsidR="002E7ACF">
              <w:rPr>
                <w:rFonts w:ascii="Times New Roman" w:eastAsia="Times New Roman" w:hAnsi="Times New Roman" w:cs="Times New Roman"/>
                <w:sz w:val="20"/>
                <w:szCs w:val="20"/>
                <w:lang w:eastAsia="pl-PL"/>
              </w:rPr>
              <w:t>.</w:t>
            </w:r>
          </w:p>
          <w:p w14:paraId="469FFACA" w14:textId="129B7F3C" w:rsidR="00352061" w:rsidRDefault="00352061" w:rsidP="00EF3211">
            <w:pPr>
              <w:autoSpaceDE w:val="0"/>
              <w:autoSpaceDN w:val="0"/>
              <w:adjustRightInd w:val="0"/>
              <w:jc w:val="both"/>
              <w:rPr>
                <w:rFonts w:ascii="Times New Roman" w:eastAsia="Times New Roman" w:hAnsi="Times New Roman" w:cs="Times New Roman"/>
                <w:sz w:val="20"/>
                <w:szCs w:val="20"/>
                <w:lang w:eastAsia="pl-PL"/>
              </w:rPr>
            </w:pPr>
            <w:r w:rsidRPr="00352061">
              <w:rPr>
                <w:rFonts w:ascii="Times New Roman" w:eastAsia="Times New Roman" w:hAnsi="Times New Roman" w:cs="Times New Roman"/>
                <w:sz w:val="20"/>
                <w:szCs w:val="20"/>
                <w:lang w:eastAsia="pl-PL"/>
              </w:rPr>
              <w:t>Obowiązki i uprawnienia alimentacyjne mogą wynikać ze stosunków pokrewieństwa (art. 129 k.r.o.), przysposobienia (art. 131 k.r.o.), powinowactwa (art. 27 i 144 k.r.o.) i małżeństwa (art. 27 i 130 k.r.o.). Obowiązek alimentacyjny polega na dostarczaniu środków utrzymania, a w miarę potrzeby także środków wychowania względem krewnych w linii prostej i między rodzeństwem (art. 128 k.r.o.). Szczególne zasady w ramach tej instytucji dotyczą dzieci, wobec których rodzice obowiązani są do świadczeń alimentacyjnych, gdy te nie są jeszcze w stanie utrzymać się samodzielnie - wyjątkiem jest sytuacja, w której dochody z majątku dziecka wystarczają na pokrycie kosztów jego utrzymania i wychowania (art. 133 § 1 k.r.o). W odniesieniu do innych członków rodziny uprawniony do świadczeń alimentacyjnych jest tylko ten, kto znajduje się w niedostatku (art. 133 § 2 k.r.o).</w:t>
            </w:r>
          </w:p>
          <w:p w14:paraId="60C32C7D" w14:textId="77777777" w:rsidR="00970171" w:rsidRDefault="00970171" w:rsidP="00EF3211">
            <w:pPr>
              <w:autoSpaceDE w:val="0"/>
              <w:autoSpaceDN w:val="0"/>
              <w:adjustRightInd w:val="0"/>
              <w:jc w:val="both"/>
              <w:rPr>
                <w:rFonts w:ascii="Times New Roman" w:eastAsia="Times New Roman" w:hAnsi="Times New Roman" w:cs="Times New Roman"/>
                <w:sz w:val="20"/>
                <w:szCs w:val="20"/>
                <w:lang w:eastAsia="pl-PL"/>
              </w:rPr>
            </w:pPr>
          </w:p>
          <w:p w14:paraId="025CADA8" w14:textId="77777777" w:rsidR="00970171" w:rsidRDefault="00970171" w:rsidP="00EF3211">
            <w:pPr>
              <w:autoSpaceDE w:val="0"/>
              <w:autoSpaceDN w:val="0"/>
              <w:adjustRightInd w:val="0"/>
              <w:jc w:val="both"/>
              <w:rPr>
                <w:rFonts w:ascii="Times New Roman" w:eastAsia="Times New Roman" w:hAnsi="Times New Roman" w:cs="Times New Roman"/>
                <w:sz w:val="20"/>
                <w:szCs w:val="20"/>
                <w:lang w:eastAsia="pl-PL"/>
              </w:rPr>
            </w:pPr>
            <w:r w:rsidRPr="00970171">
              <w:rPr>
                <w:rFonts w:ascii="Times New Roman" w:eastAsia="Times New Roman" w:hAnsi="Times New Roman" w:cs="Times New Roman"/>
                <w:sz w:val="20"/>
                <w:szCs w:val="20"/>
                <w:lang w:eastAsia="pl-PL"/>
              </w:rPr>
              <w:t xml:space="preserve">Proponowana regulacja nie zagraża interesom i wolnej woli spadkodawcy i nie uniemożliwia mu decydowania o tym, czy dana osoba będzie rzeczywiście niegodna dziedziczenia po nim. Spadkodawca ma bowiem możliwość przebaczenia takiej osobie (art. 930 k.c.). </w:t>
            </w:r>
          </w:p>
          <w:p w14:paraId="53729A62" w14:textId="6C9E6C7C" w:rsidR="002E7ACF" w:rsidRDefault="00970171" w:rsidP="00EF3211">
            <w:pPr>
              <w:autoSpaceDE w:val="0"/>
              <w:autoSpaceDN w:val="0"/>
              <w:adjustRightInd w:val="0"/>
              <w:jc w:val="both"/>
              <w:rPr>
                <w:rFonts w:ascii="Times New Roman" w:eastAsia="Times New Roman" w:hAnsi="Times New Roman" w:cs="Times New Roman"/>
                <w:sz w:val="20"/>
                <w:szCs w:val="20"/>
                <w:lang w:eastAsia="pl-PL"/>
              </w:rPr>
            </w:pPr>
            <w:r w:rsidRPr="00970171">
              <w:rPr>
                <w:rFonts w:ascii="Times New Roman" w:eastAsia="Times New Roman" w:hAnsi="Times New Roman" w:cs="Times New Roman"/>
                <w:sz w:val="20"/>
                <w:szCs w:val="20"/>
                <w:lang w:eastAsia="pl-PL"/>
              </w:rPr>
              <w:t>Dla skuteczności tej czynności,</w:t>
            </w:r>
            <w:r>
              <w:rPr>
                <w:rFonts w:ascii="Times New Roman" w:eastAsia="Times New Roman" w:hAnsi="Times New Roman" w:cs="Times New Roman"/>
                <w:sz w:val="20"/>
                <w:szCs w:val="20"/>
                <w:lang w:eastAsia="pl-PL"/>
              </w:rPr>
              <w:t xml:space="preserve"> </w:t>
            </w:r>
            <w:r w:rsidRPr="00970171">
              <w:rPr>
                <w:rFonts w:ascii="Times New Roman" w:eastAsia="Times New Roman" w:hAnsi="Times New Roman" w:cs="Times New Roman"/>
                <w:sz w:val="20"/>
                <w:szCs w:val="20"/>
                <w:lang w:eastAsia="pl-PL"/>
              </w:rPr>
              <w:t xml:space="preserve">wystarczające jest dostateczne rozeznanie (art. 930 k.c.).  Sąd rozpoznający sprawę o uznanie danego spadkobiercy za niegodnego dziedziczenia będzie badał w toku postępowania </w:t>
            </w:r>
            <w:r w:rsidRPr="00970171">
              <w:rPr>
                <w:rFonts w:ascii="Times New Roman" w:eastAsia="Times New Roman" w:hAnsi="Times New Roman" w:cs="Times New Roman"/>
                <w:sz w:val="20"/>
                <w:szCs w:val="20"/>
                <w:lang w:eastAsia="pl-PL"/>
              </w:rPr>
              <w:lastRenderedPageBreak/>
              <w:t>dowodowego, czy spadkodawca przebaczył spadkobiercy i nie uzna go za niegodnego w razie pozytywnego ustalenia w tym kierunku. Co istotne, spadkodawca może również ustanowić</w:t>
            </w:r>
            <w:r>
              <w:rPr>
                <w:rFonts w:ascii="Times New Roman" w:eastAsia="Times New Roman" w:hAnsi="Times New Roman" w:cs="Times New Roman"/>
                <w:sz w:val="20"/>
                <w:szCs w:val="20"/>
                <w:lang w:eastAsia="pl-PL"/>
              </w:rPr>
              <w:t xml:space="preserve"> </w:t>
            </w:r>
            <w:r w:rsidRPr="00970171">
              <w:rPr>
                <w:rFonts w:ascii="Times New Roman" w:eastAsia="Times New Roman" w:hAnsi="Times New Roman" w:cs="Times New Roman"/>
                <w:sz w:val="20"/>
                <w:szCs w:val="20"/>
                <w:lang w:eastAsia="pl-PL"/>
              </w:rPr>
              <w:t>taką osobę spadkobiercą w sporządzonym przez siebie testamencie.</w:t>
            </w:r>
          </w:p>
          <w:p w14:paraId="14B4BFCB" w14:textId="77777777" w:rsidR="00EF1487" w:rsidRDefault="00EF1487" w:rsidP="00EF3211">
            <w:pPr>
              <w:autoSpaceDE w:val="0"/>
              <w:autoSpaceDN w:val="0"/>
              <w:adjustRightInd w:val="0"/>
              <w:jc w:val="both"/>
              <w:rPr>
                <w:rFonts w:ascii="Times New Roman" w:eastAsia="Times New Roman" w:hAnsi="Times New Roman" w:cs="Times New Roman"/>
                <w:sz w:val="20"/>
                <w:szCs w:val="20"/>
                <w:lang w:eastAsia="pl-PL"/>
              </w:rPr>
            </w:pPr>
          </w:p>
          <w:p w14:paraId="65B3A69C" w14:textId="4357DE3D" w:rsidR="00EF1487" w:rsidRDefault="00EF1487" w:rsidP="00EF1487">
            <w:pPr>
              <w:autoSpaceDE w:val="0"/>
              <w:autoSpaceDN w:val="0"/>
              <w:adjustRightInd w:val="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Aktualna treść projektowanego </w:t>
            </w:r>
            <w:r w:rsidRPr="00134ACC">
              <w:rPr>
                <w:rFonts w:ascii="Times New Roman" w:eastAsia="Times New Roman" w:hAnsi="Times New Roman" w:cs="Times New Roman"/>
                <w:sz w:val="20"/>
                <w:szCs w:val="20"/>
                <w:lang w:eastAsia="pl-PL"/>
              </w:rPr>
              <w:t>art. 1 pkt 1</w:t>
            </w:r>
            <w:r>
              <w:rPr>
                <w:rFonts w:ascii="Times New Roman" w:eastAsia="Times New Roman" w:hAnsi="Times New Roman" w:cs="Times New Roman"/>
                <w:sz w:val="20"/>
                <w:szCs w:val="20"/>
                <w:lang w:eastAsia="pl-PL"/>
              </w:rPr>
              <w:t xml:space="preserve"> brzmi następująco: „</w:t>
            </w:r>
            <w:r w:rsidRPr="00514954">
              <w:rPr>
                <w:rFonts w:ascii="Times New Roman" w:eastAsia="Times New Roman" w:hAnsi="Times New Roman" w:cs="Times New Roman"/>
                <w:i/>
                <w:iCs/>
                <w:sz w:val="20"/>
                <w:szCs w:val="20"/>
                <w:lang w:eastAsia="pl-PL"/>
              </w:rPr>
              <w:t>uporczywie uchylał się od wykonywania obowiązku alimentacyjnego wobec spadkodawcy lub od sprawowania nad nim opieki</w:t>
            </w:r>
            <w:r>
              <w:rPr>
                <w:rFonts w:ascii="Times New Roman" w:eastAsia="Times New Roman" w:hAnsi="Times New Roman" w:cs="Times New Roman"/>
                <w:i/>
                <w:iCs/>
                <w:sz w:val="20"/>
                <w:szCs w:val="20"/>
                <w:lang w:eastAsia="pl-PL"/>
              </w:rPr>
              <w:t>”</w:t>
            </w:r>
            <w:r w:rsidRPr="00514954">
              <w:rPr>
                <w:rFonts w:ascii="Times New Roman" w:eastAsia="Times New Roman" w:hAnsi="Times New Roman" w:cs="Times New Roman"/>
                <w:i/>
                <w:iCs/>
                <w:sz w:val="20"/>
                <w:szCs w:val="20"/>
                <w:lang w:eastAsia="pl-PL"/>
              </w:rPr>
              <w:t>.</w:t>
            </w:r>
          </w:p>
          <w:p w14:paraId="4EFAD863" w14:textId="77777777" w:rsidR="00EF3211" w:rsidRDefault="00EF3211" w:rsidP="00EF3211">
            <w:pPr>
              <w:autoSpaceDE w:val="0"/>
              <w:autoSpaceDN w:val="0"/>
              <w:adjustRightInd w:val="0"/>
              <w:jc w:val="both"/>
              <w:rPr>
                <w:rFonts w:ascii="Times New Roman" w:eastAsia="Times New Roman" w:hAnsi="Times New Roman" w:cs="Times New Roman"/>
                <w:sz w:val="20"/>
                <w:szCs w:val="20"/>
                <w:lang w:eastAsia="pl-PL"/>
              </w:rPr>
            </w:pPr>
          </w:p>
          <w:p w14:paraId="26704037" w14:textId="4093A2C9" w:rsidR="00A56797" w:rsidRPr="00EF3211" w:rsidRDefault="00EF1487" w:rsidP="00EF3211">
            <w:pPr>
              <w:autoSpaceDE w:val="0"/>
              <w:autoSpaceDN w:val="0"/>
              <w:adjustRightInd w:val="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U</w:t>
            </w:r>
            <w:r w:rsidRPr="00EF1487">
              <w:rPr>
                <w:rFonts w:ascii="Times New Roman" w:eastAsia="Times New Roman" w:hAnsi="Times New Roman" w:cs="Times New Roman"/>
                <w:sz w:val="20"/>
                <w:szCs w:val="20"/>
                <w:lang w:eastAsia="pl-PL"/>
              </w:rPr>
              <w:t>zupełniono uzasadnienie w zakresie</w:t>
            </w:r>
            <w:r>
              <w:rPr>
                <w:rFonts w:ascii="Times New Roman" w:eastAsia="Times New Roman" w:hAnsi="Times New Roman" w:cs="Times New Roman"/>
                <w:sz w:val="20"/>
                <w:szCs w:val="20"/>
                <w:lang w:eastAsia="pl-PL"/>
              </w:rPr>
              <w:t xml:space="preserve"> wyraźnego wskazania </w:t>
            </w:r>
            <w:r w:rsidRPr="00EF1487">
              <w:rPr>
                <w:rFonts w:ascii="Times New Roman" w:eastAsia="Times New Roman" w:hAnsi="Times New Roman" w:cs="Times New Roman"/>
                <w:sz w:val="20"/>
                <w:szCs w:val="20"/>
                <w:lang w:eastAsia="pl-PL"/>
              </w:rPr>
              <w:t>znaczenia pojęcia „opieka” podając, że przez opiekę należy tu rozumieć opiekę w znaczeniu potocznym, to jest jako faktyczną pomoc i dbanie o inną osobę, o jej dobre samopoczucie. Opieki w rozumieniu projektowanego przepisu nie należy utożsamiać z opieką zinstytucjonalizowaną, o której mowa w k.r.o. (art. 94 § 3, art. 145–174 k.r.o., art. 175– 177 k.r.o.) czy kuratelą nad osobą, która wymaga pomocy w załatwieniu pojedynczej sprawy lub spraw pewnego rodzaju (por. art. 183 k.r.o.), np. reprezentacji i sprawowania zarządu majątkiem (art. 181 k.r.o.), strzeżenia przyszłych praw (art. 182 k.r.o.)</w:t>
            </w:r>
            <w:r>
              <w:rPr>
                <w:rFonts w:ascii="Times New Roman" w:eastAsia="Times New Roman" w:hAnsi="Times New Roman" w:cs="Times New Roman"/>
                <w:sz w:val="20"/>
                <w:szCs w:val="20"/>
                <w:lang w:eastAsia="pl-PL"/>
              </w:rPr>
              <w:t>.</w:t>
            </w:r>
          </w:p>
        </w:tc>
      </w:tr>
      <w:tr w:rsidR="0080306F" w14:paraId="30ED1083" w14:textId="77777777" w:rsidTr="00C51680">
        <w:trPr>
          <w:jc w:val="center"/>
        </w:trPr>
        <w:tc>
          <w:tcPr>
            <w:tcW w:w="561" w:type="dxa"/>
          </w:tcPr>
          <w:p w14:paraId="37C87CB6" w14:textId="24716B6A" w:rsidR="0080306F" w:rsidRDefault="0080306F" w:rsidP="0080306F">
            <w:pPr>
              <w:spacing w:before="120"/>
              <w:ind w:right="-534"/>
              <w:rPr>
                <w:rFonts w:ascii="Times New Roman" w:hAnsi="Times New Roman" w:cs="Times New Roman"/>
                <w:b/>
                <w:sz w:val="20"/>
              </w:rPr>
            </w:pPr>
            <w:r>
              <w:rPr>
                <w:rFonts w:ascii="Times New Roman" w:hAnsi="Times New Roman" w:cs="Times New Roman"/>
                <w:b/>
                <w:sz w:val="20"/>
              </w:rPr>
              <w:lastRenderedPageBreak/>
              <w:t>2.</w:t>
            </w:r>
          </w:p>
        </w:tc>
        <w:tc>
          <w:tcPr>
            <w:tcW w:w="1841" w:type="dxa"/>
            <w:vAlign w:val="center"/>
          </w:tcPr>
          <w:p w14:paraId="216510E9" w14:textId="63EF147D" w:rsidR="0080306F" w:rsidRPr="006D0389" w:rsidRDefault="0080306F" w:rsidP="0080306F">
            <w:pPr>
              <w:spacing w:before="120" w:after="120"/>
              <w:jc w:val="center"/>
              <w:rPr>
                <w:rFonts w:ascii="Times New Roman" w:hAnsi="Times New Roman" w:cs="Times New Roman"/>
                <w:sz w:val="20"/>
                <w:szCs w:val="20"/>
              </w:rPr>
            </w:pPr>
            <w:r w:rsidRPr="006D0389">
              <w:rPr>
                <w:rFonts w:ascii="Times New Roman" w:hAnsi="Times New Roman" w:cs="Times New Roman"/>
                <w:sz w:val="20"/>
                <w:szCs w:val="20"/>
              </w:rPr>
              <w:t>Sąd Najwyższy</w:t>
            </w:r>
            <w:r>
              <w:rPr>
                <w:rFonts w:ascii="Times New Roman" w:hAnsi="Times New Roman" w:cs="Times New Roman"/>
                <w:sz w:val="20"/>
                <w:szCs w:val="20"/>
              </w:rPr>
              <w:t xml:space="preserve"> BSiA SN</w:t>
            </w:r>
          </w:p>
        </w:tc>
        <w:tc>
          <w:tcPr>
            <w:tcW w:w="1883" w:type="dxa"/>
            <w:vAlign w:val="center"/>
          </w:tcPr>
          <w:p w14:paraId="3D46765D" w14:textId="3C86213A" w:rsidR="0080306F" w:rsidRDefault="0080306F" w:rsidP="0080306F">
            <w:pPr>
              <w:rPr>
                <w:rFonts w:ascii="Times New Roman" w:hAnsi="Times New Roman" w:cs="Times New Roman"/>
                <w:sz w:val="20"/>
                <w:szCs w:val="20"/>
              </w:rPr>
            </w:pPr>
            <w:r>
              <w:rPr>
                <w:rFonts w:ascii="Times New Roman" w:hAnsi="Times New Roman" w:cs="Times New Roman"/>
                <w:sz w:val="20"/>
                <w:szCs w:val="20"/>
              </w:rPr>
              <w:t>art. 1 pkt 2 –</w:t>
            </w:r>
            <w:r w:rsidRPr="00F867FB">
              <w:rPr>
                <w:rFonts w:ascii="Times New Roman" w:hAnsi="Times New Roman" w:cs="Times New Roman"/>
                <w:b/>
                <w:sz w:val="20"/>
                <w:szCs w:val="20"/>
              </w:rPr>
              <w:t>zmiana art. 934 k.c.</w:t>
            </w:r>
          </w:p>
        </w:tc>
        <w:tc>
          <w:tcPr>
            <w:tcW w:w="5653" w:type="dxa"/>
            <w:vAlign w:val="center"/>
          </w:tcPr>
          <w:p w14:paraId="53379EB5" w14:textId="43ADA8CC" w:rsidR="0080306F" w:rsidRDefault="0080306F" w:rsidP="0080306F">
            <w:pPr>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Wobec braku informacji co do skali występowania przypadków powołania do dziedziczenia innych zstępnych dziadków niż wymienieni w ograniczającej propozycji projektu, ani informacji o wielkości udziału odległych zstępnych dziadków wśród wnioskodawców w sprawach o uchylenie się od skutków niezłożenia oświadczenia o przyjęciu/odrzuceniu spadku, nie jest możliwe zajęcie stanowiska (ani </w:t>
            </w:r>
            <w:r w:rsidR="00B96435">
              <w:rPr>
                <w:rFonts w:ascii="Times New Roman" w:eastAsia="Times New Roman" w:hAnsi="Times New Roman" w:cs="Times New Roman"/>
                <w:sz w:val="20"/>
                <w:szCs w:val="20"/>
                <w:lang w:eastAsia="pl-PL"/>
              </w:rPr>
              <w:t>aprobującego,</w:t>
            </w:r>
            <w:r>
              <w:rPr>
                <w:rFonts w:ascii="Times New Roman" w:eastAsia="Times New Roman" w:hAnsi="Times New Roman" w:cs="Times New Roman"/>
                <w:sz w:val="20"/>
                <w:szCs w:val="20"/>
                <w:lang w:eastAsia="pl-PL"/>
              </w:rPr>
              <w:t xml:space="preserve"> ani krytycznego,) co do celowości zaprojektowanej zmiany.</w:t>
            </w:r>
          </w:p>
        </w:tc>
        <w:tc>
          <w:tcPr>
            <w:tcW w:w="4056" w:type="dxa"/>
          </w:tcPr>
          <w:p w14:paraId="55CEA505" w14:textId="3DCD4FD3" w:rsidR="000D210B" w:rsidRDefault="000D210B" w:rsidP="000D210B">
            <w:pPr>
              <w:jc w:val="both"/>
              <w:rPr>
                <w:rFonts w:ascii="Times New Roman" w:eastAsia="Times New Roman" w:hAnsi="Times New Roman" w:cs="Times New Roman"/>
                <w:b/>
                <w:bCs/>
                <w:sz w:val="20"/>
                <w:szCs w:val="20"/>
                <w:lang w:eastAsia="pl-PL"/>
              </w:rPr>
            </w:pPr>
            <w:r w:rsidRPr="00C87548">
              <w:rPr>
                <w:rFonts w:ascii="Times New Roman" w:eastAsia="Times New Roman" w:hAnsi="Times New Roman" w:cs="Times New Roman"/>
                <w:b/>
                <w:bCs/>
                <w:sz w:val="20"/>
                <w:szCs w:val="20"/>
                <w:lang w:eastAsia="pl-PL"/>
              </w:rPr>
              <w:t>Wyjaśnienie</w:t>
            </w:r>
          </w:p>
          <w:p w14:paraId="087C30D1" w14:textId="77777777" w:rsidR="00393C8B" w:rsidRDefault="00393C8B" w:rsidP="000D210B">
            <w:pPr>
              <w:jc w:val="both"/>
              <w:rPr>
                <w:rFonts w:ascii="Times New Roman" w:eastAsia="Times New Roman" w:hAnsi="Times New Roman" w:cs="Times New Roman"/>
                <w:b/>
                <w:bCs/>
                <w:sz w:val="20"/>
                <w:szCs w:val="20"/>
                <w:lang w:eastAsia="pl-PL"/>
              </w:rPr>
            </w:pPr>
          </w:p>
          <w:p w14:paraId="5CBA0870" w14:textId="4EBBDD18" w:rsidR="000D210B" w:rsidRPr="00756A51" w:rsidRDefault="000D210B" w:rsidP="000D210B">
            <w:pPr>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Zwrócono się z wnioskiem do Instytutu Wymiar</w:t>
            </w:r>
            <w:r w:rsidR="005837F8">
              <w:rPr>
                <w:rFonts w:ascii="Times New Roman" w:eastAsia="Times New Roman" w:hAnsi="Times New Roman" w:cs="Times New Roman"/>
                <w:sz w:val="20"/>
                <w:szCs w:val="20"/>
                <w:lang w:eastAsia="pl-PL"/>
              </w:rPr>
              <w:t>u</w:t>
            </w:r>
            <w:r>
              <w:rPr>
                <w:rFonts w:ascii="Times New Roman" w:eastAsia="Times New Roman" w:hAnsi="Times New Roman" w:cs="Times New Roman"/>
                <w:sz w:val="20"/>
                <w:szCs w:val="20"/>
                <w:lang w:eastAsia="pl-PL"/>
              </w:rPr>
              <w:t xml:space="preserve"> Sprawiedliwości o p</w:t>
            </w:r>
            <w:r w:rsidR="005837F8">
              <w:rPr>
                <w:rFonts w:ascii="Times New Roman" w:eastAsia="Times New Roman" w:hAnsi="Times New Roman" w:cs="Times New Roman"/>
                <w:sz w:val="20"/>
                <w:szCs w:val="20"/>
                <w:lang w:eastAsia="pl-PL"/>
              </w:rPr>
              <w:t>rzeprowadzenie</w:t>
            </w:r>
            <w:r>
              <w:rPr>
                <w:rFonts w:ascii="Times New Roman" w:eastAsia="Times New Roman" w:hAnsi="Times New Roman" w:cs="Times New Roman"/>
                <w:sz w:val="20"/>
                <w:szCs w:val="20"/>
                <w:lang w:eastAsia="pl-PL"/>
              </w:rPr>
              <w:t xml:space="preserve"> badań aktowych.</w:t>
            </w:r>
            <w:r w:rsidRPr="00756A51">
              <w:rPr>
                <w:rFonts w:ascii="Times New Roman" w:eastAsia="Times New Roman" w:hAnsi="Times New Roman" w:cs="Times New Roman"/>
                <w:sz w:val="20"/>
                <w:szCs w:val="20"/>
                <w:lang w:eastAsia="pl-PL"/>
              </w:rPr>
              <w:t xml:space="preserve">  </w:t>
            </w:r>
          </w:p>
          <w:p w14:paraId="2E99C8D3" w14:textId="77777777" w:rsidR="000D210B" w:rsidRDefault="000D210B" w:rsidP="000D210B">
            <w:pPr>
              <w:jc w:val="both"/>
              <w:rPr>
                <w:rFonts w:ascii="Times New Roman" w:eastAsia="Times New Roman" w:hAnsi="Times New Roman" w:cs="Times New Roman"/>
                <w:b/>
                <w:bCs/>
                <w:sz w:val="20"/>
                <w:szCs w:val="20"/>
                <w:lang w:eastAsia="pl-PL"/>
              </w:rPr>
            </w:pPr>
          </w:p>
          <w:p w14:paraId="17D06630" w14:textId="77777777" w:rsidR="0080306F" w:rsidRPr="00D345DF" w:rsidRDefault="0080306F" w:rsidP="0080306F">
            <w:pPr>
              <w:spacing w:before="120"/>
              <w:jc w:val="center"/>
              <w:rPr>
                <w:rFonts w:ascii="Times New Roman" w:hAnsi="Times New Roman" w:cs="Times New Roman"/>
                <w:color w:val="365F91" w:themeColor="accent1" w:themeShade="BF"/>
                <w:sz w:val="20"/>
              </w:rPr>
            </w:pPr>
          </w:p>
        </w:tc>
      </w:tr>
      <w:tr w:rsidR="0080306F" w14:paraId="27AD6E7B" w14:textId="77777777" w:rsidTr="00C51680">
        <w:trPr>
          <w:jc w:val="center"/>
        </w:trPr>
        <w:tc>
          <w:tcPr>
            <w:tcW w:w="561" w:type="dxa"/>
          </w:tcPr>
          <w:p w14:paraId="5C28FD34" w14:textId="5BDD5FE1" w:rsidR="0080306F" w:rsidRDefault="0080306F" w:rsidP="0080306F">
            <w:pPr>
              <w:spacing w:before="120"/>
              <w:ind w:right="-534"/>
              <w:rPr>
                <w:rFonts w:ascii="Times New Roman" w:hAnsi="Times New Roman" w:cs="Times New Roman"/>
                <w:b/>
                <w:sz w:val="20"/>
              </w:rPr>
            </w:pPr>
            <w:r>
              <w:rPr>
                <w:rFonts w:ascii="Times New Roman" w:hAnsi="Times New Roman" w:cs="Times New Roman"/>
                <w:b/>
                <w:sz w:val="20"/>
              </w:rPr>
              <w:lastRenderedPageBreak/>
              <w:t>3.</w:t>
            </w:r>
          </w:p>
        </w:tc>
        <w:tc>
          <w:tcPr>
            <w:tcW w:w="1841" w:type="dxa"/>
            <w:vAlign w:val="center"/>
          </w:tcPr>
          <w:p w14:paraId="2B8695AC" w14:textId="4329A41A" w:rsidR="0080306F" w:rsidRPr="006D0389" w:rsidRDefault="0080306F" w:rsidP="0080306F">
            <w:pPr>
              <w:spacing w:before="120" w:after="120"/>
              <w:jc w:val="center"/>
              <w:rPr>
                <w:rFonts w:ascii="Times New Roman" w:hAnsi="Times New Roman" w:cs="Times New Roman"/>
                <w:sz w:val="20"/>
                <w:szCs w:val="20"/>
              </w:rPr>
            </w:pPr>
            <w:r w:rsidRPr="006D0389">
              <w:rPr>
                <w:rFonts w:ascii="Times New Roman" w:hAnsi="Times New Roman" w:cs="Times New Roman"/>
                <w:sz w:val="20"/>
                <w:szCs w:val="20"/>
              </w:rPr>
              <w:t>Sąd Najwyższy</w:t>
            </w:r>
            <w:r>
              <w:rPr>
                <w:rFonts w:ascii="Times New Roman" w:hAnsi="Times New Roman" w:cs="Times New Roman"/>
                <w:sz w:val="20"/>
                <w:szCs w:val="20"/>
              </w:rPr>
              <w:t xml:space="preserve"> BSiA SN</w:t>
            </w:r>
          </w:p>
        </w:tc>
        <w:tc>
          <w:tcPr>
            <w:tcW w:w="1883" w:type="dxa"/>
            <w:vAlign w:val="center"/>
          </w:tcPr>
          <w:p w14:paraId="6528C2E5" w14:textId="32443B61" w:rsidR="0080306F" w:rsidRDefault="0080306F" w:rsidP="0080306F">
            <w:pPr>
              <w:rPr>
                <w:rFonts w:ascii="Times New Roman" w:hAnsi="Times New Roman" w:cs="Times New Roman"/>
                <w:sz w:val="20"/>
                <w:szCs w:val="20"/>
              </w:rPr>
            </w:pPr>
            <w:r>
              <w:rPr>
                <w:rFonts w:ascii="Times New Roman" w:hAnsi="Times New Roman" w:cs="Times New Roman"/>
                <w:sz w:val="20"/>
                <w:szCs w:val="20"/>
              </w:rPr>
              <w:t>art. 1 pkt 3 -</w:t>
            </w:r>
            <w:r w:rsidRPr="00F867FB">
              <w:rPr>
                <w:rFonts w:ascii="Times New Roman" w:hAnsi="Times New Roman" w:cs="Times New Roman"/>
                <w:b/>
                <w:sz w:val="20"/>
                <w:szCs w:val="20"/>
              </w:rPr>
              <w:t>zmiana art. 1015 k.c.</w:t>
            </w:r>
            <w:r>
              <w:rPr>
                <w:rFonts w:ascii="Times New Roman" w:hAnsi="Times New Roman" w:cs="Times New Roman"/>
                <w:sz w:val="20"/>
                <w:szCs w:val="20"/>
              </w:rPr>
              <w:t xml:space="preserve">, art.1 pkt 4 – </w:t>
            </w:r>
            <w:r w:rsidRPr="00F867FB">
              <w:rPr>
                <w:rFonts w:ascii="Times New Roman" w:hAnsi="Times New Roman" w:cs="Times New Roman"/>
                <w:b/>
                <w:sz w:val="20"/>
                <w:szCs w:val="20"/>
              </w:rPr>
              <w:t>zmiana art.1019 k.c.</w:t>
            </w:r>
            <w:r w:rsidRPr="00094086">
              <w:rPr>
                <w:rFonts w:ascii="Times New Roman" w:hAnsi="Times New Roman" w:cs="Times New Roman"/>
                <w:sz w:val="20"/>
                <w:szCs w:val="20"/>
              </w:rPr>
              <w:t xml:space="preserve">, </w:t>
            </w:r>
            <w:r>
              <w:rPr>
                <w:rFonts w:ascii="Times New Roman" w:hAnsi="Times New Roman" w:cs="Times New Roman"/>
                <w:sz w:val="20"/>
                <w:szCs w:val="20"/>
              </w:rPr>
              <w:t xml:space="preserve">art.1 pkt 5 – </w:t>
            </w:r>
            <w:r w:rsidRPr="00094086">
              <w:rPr>
                <w:rFonts w:ascii="Times New Roman" w:hAnsi="Times New Roman" w:cs="Times New Roman"/>
                <w:b/>
                <w:sz w:val="20"/>
                <w:szCs w:val="20"/>
              </w:rPr>
              <w:t>zmiana art. 1030 k.c.</w:t>
            </w:r>
          </w:p>
        </w:tc>
        <w:tc>
          <w:tcPr>
            <w:tcW w:w="5653" w:type="dxa"/>
            <w:vAlign w:val="center"/>
          </w:tcPr>
          <w:p w14:paraId="67C9BC1B" w14:textId="532AF102" w:rsidR="0080306F" w:rsidRDefault="0080306F" w:rsidP="0080306F">
            <w:pPr>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Proponowane zmiany są godne aprobaty</w:t>
            </w:r>
          </w:p>
        </w:tc>
        <w:tc>
          <w:tcPr>
            <w:tcW w:w="4056" w:type="dxa"/>
          </w:tcPr>
          <w:p w14:paraId="41424DBF" w14:textId="7D658B15" w:rsidR="0080306F" w:rsidRPr="008854DC" w:rsidRDefault="008854DC" w:rsidP="008854DC">
            <w:pPr>
              <w:jc w:val="both"/>
              <w:rPr>
                <w:rFonts w:ascii="Times New Roman" w:hAnsi="Times New Roman" w:cs="Times New Roman"/>
                <w:b/>
                <w:bCs/>
                <w:color w:val="365F91" w:themeColor="accent1" w:themeShade="BF"/>
                <w:sz w:val="20"/>
              </w:rPr>
            </w:pPr>
            <w:r w:rsidRPr="008854DC">
              <w:rPr>
                <w:rFonts w:ascii="Times New Roman" w:eastAsia="Times New Roman" w:hAnsi="Times New Roman" w:cs="Times New Roman"/>
                <w:b/>
                <w:bCs/>
                <w:sz w:val="20"/>
                <w:szCs w:val="20"/>
                <w:lang w:eastAsia="pl-PL"/>
              </w:rPr>
              <w:t>Uwaga pozytywna</w:t>
            </w:r>
            <w:r>
              <w:rPr>
                <w:rFonts w:ascii="Times New Roman" w:eastAsia="Times New Roman" w:hAnsi="Times New Roman" w:cs="Times New Roman"/>
                <w:b/>
                <w:bCs/>
                <w:sz w:val="20"/>
                <w:szCs w:val="20"/>
                <w:lang w:eastAsia="pl-PL"/>
              </w:rPr>
              <w:t xml:space="preserve"> - </w:t>
            </w:r>
            <w:r w:rsidRPr="008854DC">
              <w:rPr>
                <w:rFonts w:ascii="Times New Roman" w:eastAsia="Times New Roman" w:hAnsi="Times New Roman" w:cs="Times New Roman"/>
                <w:b/>
                <w:bCs/>
                <w:sz w:val="20"/>
                <w:szCs w:val="20"/>
                <w:lang w:eastAsia="pl-PL"/>
              </w:rPr>
              <w:t>aprobująca zmiany</w:t>
            </w:r>
          </w:p>
        </w:tc>
      </w:tr>
      <w:tr w:rsidR="00C41BB0" w14:paraId="6168F40D" w14:textId="77777777" w:rsidTr="00C51680">
        <w:trPr>
          <w:jc w:val="center"/>
        </w:trPr>
        <w:tc>
          <w:tcPr>
            <w:tcW w:w="561" w:type="dxa"/>
          </w:tcPr>
          <w:p w14:paraId="15D4D263" w14:textId="29D3E241" w:rsidR="00C41BB0" w:rsidRDefault="00C41BB0" w:rsidP="00C41BB0">
            <w:pPr>
              <w:spacing w:before="120"/>
              <w:ind w:right="-534"/>
              <w:rPr>
                <w:rFonts w:ascii="Times New Roman" w:hAnsi="Times New Roman" w:cs="Times New Roman"/>
                <w:b/>
                <w:sz w:val="20"/>
              </w:rPr>
            </w:pPr>
            <w:r>
              <w:rPr>
                <w:rFonts w:ascii="Times New Roman" w:hAnsi="Times New Roman" w:cs="Times New Roman"/>
                <w:b/>
                <w:sz w:val="20"/>
              </w:rPr>
              <w:t>4.</w:t>
            </w:r>
          </w:p>
        </w:tc>
        <w:tc>
          <w:tcPr>
            <w:tcW w:w="1841" w:type="dxa"/>
            <w:vAlign w:val="center"/>
          </w:tcPr>
          <w:p w14:paraId="2097DD09" w14:textId="7A61A7DB" w:rsidR="00C41BB0" w:rsidRPr="006D0389" w:rsidRDefault="00C41BB0" w:rsidP="00C41BB0">
            <w:pPr>
              <w:spacing w:before="120" w:after="120"/>
              <w:jc w:val="center"/>
              <w:rPr>
                <w:rFonts w:ascii="Times New Roman" w:hAnsi="Times New Roman" w:cs="Times New Roman"/>
                <w:sz w:val="20"/>
                <w:szCs w:val="20"/>
              </w:rPr>
            </w:pPr>
            <w:r w:rsidRPr="006D0389">
              <w:rPr>
                <w:rFonts w:ascii="Times New Roman" w:hAnsi="Times New Roman" w:cs="Times New Roman"/>
                <w:sz w:val="20"/>
                <w:szCs w:val="20"/>
              </w:rPr>
              <w:t>Sąd Najwyższy</w:t>
            </w:r>
            <w:r>
              <w:rPr>
                <w:rFonts w:ascii="Times New Roman" w:hAnsi="Times New Roman" w:cs="Times New Roman"/>
                <w:sz w:val="20"/>
                <w:szCs w:val="20"/>
              </w:rPr>
              <w:t xml:space="preserve"> BSiA SN</w:t>
            </w:r>
          </w:p>
        </w:tc>
        <w:tc>
          <w:tcPr>
            <w:tcW w:w="1883" w:type="dxa"/>
            <w:vAlign w:val="center"/>
          </w:tcPr>
          <w:p w14:paraId="7D07572A" w14:textId="42A14760" w:rsidR="00C41BB0" w:rsidRDefault="00C41BB0" w:rsidP="00C41BB0">
            <w:pPr>
              <w:rPr>
                <w:rFonts w:ascii="Times New Roman" w:hAnsi="Times New Roman" w:cs="Times New Roman"/>
                <w:sz w:val="20"/>
                <w:szCs w:val="20"/>
              </w:rPr>
            </w:pPr>
            <w:r>
              <w:rPr>
                <w:rFonts w:ascii="Times New Roman" w:hAnsi="Times New Roman" w:cs="Times New Roman"/>
                <w:sz w:val="20"/>
                <w:szCs w:val="20"/>
              </w:rPr>
              <w:t>art. 2, art. 3 pkt 1 i pkt 2 w zw. z art. 5 pkt 1</w:t>
            </w:r>
          </w:p>
        </w:tc>
        <w:tc>
          <w:tcPr>
            <w:tcW w:w="5653" w:type="dxa"/>
            <w:vAlign w:val="center"/>
          </w:tcPr>
          <w:p w14:paraId="42A793CA" w14:textId="77777777" w:rsidR="00C41BB0" w:rsidRDefault="00C41BB0" w:rsidP="00C41BB0">
            <w:pPr>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Wydaje się, iż decyzja o zasadności przekazania do właściwości </w:t>
            </w:r>
            <w:r w:rsidRPr="004239E7">
              <w:rPr>
                <w:rFonts w:ascii="Times New Roman" w:eastAsia="Times New Roman" w:hAnsi="Times New Roman" w:cs="Times New Roman"/>
                <w:b/>
                <w:sz w:val="20"/>
                <w:szCs w:val="20"/>
                <w:lang w:eastAsia="pl-PL"/>
              </w:rPr>
              <w:t>sądu spadku</w:t>
            </w:r>
            <w:r>
              <w:rPr>
                <w:rFonts w:ascii="Times New Roman" w:eastAsia="Times New Roman" w:hAnsi="Times New Roman" w:cs="Times New Roman"/>
                <w:sz w:val="20"/>
                <w:szCs w:val="20"/>
                <w:lang w:eastAsia="pl-PL"/>
              </w:rPr>
              <w:t xml:space="preserve"> udzielania zezwolenia na przyjęcie lub odrzucenie spadku, jako na czynność przekraczającą zakres zwykłego zarządu majątkiem dziecka lub osoby pozostającej pod opieką, powinna być poprzedzona dodatkowymi ustaleniami, których nie dokonano.</w:t>
            </w:r>
          </w:p>
          <w:p w14:paraId="1DA7EF9B" w14:textId="0248FA2B" w:rsidR="00C41BB0" w:rsidRDefault="00C41BB0" w:rsidP="00C41BB0">
            <w:pPr>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W świetle informacji z badania akt spraw o zezwolenie na dokonanie czynności </w:t>
            </w:r>
            <w:r w:rsidRPr="008C3D24">
              <w:rPr>
                <w:rFonts w:ascii="Times New Roman" w:eastAsia="Times New Roman" w:hAnsi="Times New Roman" w:cs="Times New Roman"/>
                <w:sz w:val="20"/>
                <w:szCs w:val="20"/>
                <w:lang w:eastAsia="pl-PL"/>
              </w:rPr>
              <w:t>przekraczającej zakres zwykłego zarządu majątkiem dziecka,</w:t>
            </w:r>
            <w:r>
              <w:rPr>
                <w:rFonts w:ascii="Times New Roman" w:eastAsia="Times New Roman" w:hAnsi="Times New Roman" w:cs="Times New Roman"/>
                <w:sz w:val="20"/>
                <w:szCs w:val="20"/>
                <w:lang w:eastAsia="pl-PL"/>
              </w:rPr>
              <w:t xml:space="preserve"> przeprowadzonego w 2014 r. w Instytucie Wymiaru Sprawiedliwości (J. Słyk, </w:t>
            </w:r>
            <w:r w:rsidRPr="00D06F32">
              <w:rPr>
                <w:rFonts w:ascii="Times New Roman" w:eastAsia="Times New Roman" w:hAnsi="Times New Roman" w:cs="Times New Roman"/>
                <w:i/>
                <w:sz w:val="20"/>
                <w:szCs w:val="20"/>
                <w:lang w:eastAsia="pl-PL"/>
              </w:rPr>
              <w:t>Orzekanie w sprawach o zezwolenie na dokonanie czynności przekraczającej zakres zwykłego zarządu majątkiem dziecka</w:t>
            </w:r>
            <w:r>
              <w:rPr>
                <w:rFonts w:ascii="Times New Roman" w:eastAsia="Times New Roman" w:hAnsi="Times New Roman" w:cs="Times New Roman"/>
                <w:sz w:val="20"/>
                <w:szCs w:val="20"/>
                <w:lang w:eastAsia="pl-PL"/>
              </w:rPr>
              <w:t xml:space="preserve">, Prawo w Działaniu 2015, nr 21, s. 191-243) ustalono, że 60% zbadanych spraw </w:t>
            </w:r>
            <w:r w:rsidRPr="00A3357C">
              <w:rPr>
                <w:rFonts w:ascii="Times New Roman" w:eastAsia="Times New Roman" w:hAnsi="Times New Roman" w:cs="Times New Roman"/>
                <w:sz w:val="20"/>
                <w:szCs w:val="20"/>
                <w:lang w:eastAsia="pl-PL"/>
              </w:rPr>
              <w:t xml:space="preserve">o zezwolenie na dokonanie czynności przekraczającej zakres zwykłego zarządu majątkiem dziecka </w:t>
            </w:r>
            <w:r w:rsidRPr="008C3D24">
              <w:rPr>
                <w:rFonts w:ascii="Times New Roman" w:eastAsia="Times New Roman" w:hAnsi="Times New Roman" w:cs="Times New Roman"/>
                <w:sz w:val="20"/>
                <w:szCs w:val="20"/>
                <w:lang w:eastAsia="pl-PL"/>
              </w:rPr>
              <w:t xml:space="preserve">dotyczyło </w:t>
            </w:r>
            <w:r>
              <w:rPr>
                <w:rFonts w:ascii="Times New Roman" w:eastAsia="Times New Roman" w:hAnsi="Times New Roman" w:cs="Times New Roman"/>
                <w:sz w:val="20"/>
                <w:szCs w:val="20"/>
                <w:lang w:eastAsia="pl-PL"/>
              </w:rPr>
              <w:t xml:space="preserve">wniosku o zezwolenie na odrzucenie spadku (zob. s. 218 oraz tabela 13 na s. 219). Autor badania ustalił (s. 220), że </w:t>
            </w:r>
            <w:r w:rsidRPr="008C3D24">
              <w:rPr>
                <w:rFonts w:ascii="Times New Roman" w:eastAsia="Times New Roman" w:hAnsi="Times New Roman" w:cs="Times New Roman"/>
                <w:sz w:val="20"/>
                <w:szCs w:val="20"/>
                <w:lang w:eastAsia="pl-PL"/>
              </w:rPr>
              <w:t xml:space="preserve">najczęściej </w:t>
            </w:r>
            <w:r>
              <w:rPr>
                <w:rFonts w:ascii="Times New Roman" w:eastAsia="Times New Roman" w:hAnsi="Times New Roman" w:cs="Times New Roman"/>
                <w:sz w:val="20"/>
                <w:szCs w:val="20"/>
                <w:lang w:eastAsia="pl-PL"/>
              </w:rPr>
              <w:t>(69,2%) w uzasadnieniu wniosku o zezwolenie na odrzucenie spadku wskazywane były długi spadkowe</w:t>
            </w:r>
            <w:r w:rsidRPr="008C3D24">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t>Jednakże, aż w 20% zbadanych spraw „</w:t>
            </w:r>
            <w:r w:rsidRPr="00102829">
              <w:rPr>
                <w:rFonts w:ascii="Times New Roman" w:eastAsia="Times New Roman" w:hAnsi="Times New Roman" w:cs="Times New Roman"/>
                <w:i/>
                <w:sz w:val="20"/>
                <w:szCs w:val="20"/>
                <w:lang w:eastAsia="pl-PL"/>
              </w:rPr>
              <w:t>rodzice jedynie podejrzewali istnienie długów</w:t>
            </w:r>
            <w:r>
              <w:rPr>
                <w:rFonts w:ascii="Times New Roman" w:eastAsia="Times New Roman" w:hAnsi="Times New Roman" w:cs="Times New Roman"/>
                <w:sz w:val="20"/>
                <w:szCs w:val="20"/>
                <w:lang w:eastAsia="pl-PL"/>
              </w:rPr>
              <w:t>”, a w 8,3%</w:t>
            </w:r>
            <w:r w:rsidRPr="008C3D24">
              <w:rPr>
                <w:rFonts w:ascii="Times New Roman" w:eastAsia="Times New Roman" w:hAnsi="Times New Roman" w:cs="Times New Roman"/>
                <w:sz w:val="20"/>
                <w:szCs w:val="20"/>
                <w:lang w:eastAsia="pl-PL"/>
              </w:rPr>
              <w:t xml:space="preserve"> brak było jakiegokolwiek uzasadnienia wniosku. </w:t>
            </w:r>
            <w:r w:rsidRPr="00CC2C99">
              <w:rPr>
                <w:rFonts w:ascii="Times New Roman" w:eastAsia="Times New Roman" w:hAnsi="Times New Roman" w:cs="Times New Roman"/>
                <w:b/>
                <w:sz w:val="20"/>
                <w:szCs w:val="20"/>
                <w:lang w:eastAsia="pl-PL"/>
              </w:rPr>
              <w:t>Sądy co do zasady nie prowadziły postępowania dowodowego pozwalającego na szczegółowe określenie wartości majątku spadkowego</w:t>
            </w:r>
            <w:r w:rsidRPr="00300502">
              <w:rPr>
                <w:rFonts w:ascii="Times New Roman" w:eastAsia="Times New Roman" w:hAnsi="Times New Roman" w:cs="Times New Roman"/>
                <w:sz w:val="20"/>
                <w:szCs w:val="20"/>
                <w:lang w:eastAsia="pl-PL"/>
              </w:rPr>
              <w:t>.</w:t>
            </w:r>
            <w:r>
              <w:rPr>
                <w:rFonts w:ascii="Times New Roman" w:eastAsia="Times New Roman" w:hAnsi="Times New Roman" w:cs="Times New Roman"/>
                <w:sz w:val="20"/>
                <w:szCs w:val="20"/>
                <w:lang w:eastAsia="pl-PL"/>
              </w:rPr>
              <w:t xml:space="preserve"> W</w:t>
            </w:r>
            <w:r w:rsidRPr="004239E7">
              <w:rPr>
                <w:rFonts w:ascii="Times New Roman" w:eastAsia="Times New Roman" w:hAnsi="Times New Roman" w:cs="Times New Roman"/>
                <w:sz w:val="20"/>
                <w:szCs w:val="20"/>
                <w:lang w:eastAsia="pl-PL"/>
              </w:rPr>
              <w:t xml:space="preserve"> 71,7% spraw, których przedmiotem było odrzucenie spadku</w:t>
            </w:r>
            <w:r>
              <w:rPr>
                <w:rFonts w:ascii="Times New Roman" w:eastAsia="Times New Roman" w:hAnsi="Times New Roman" w:cs="Times New Roman"/>
                <w:sz w:val="20"/>
                <w:szCs w:val="20"/>
                <w:lang w:eastAsia="pl-PL"/>
              </w:rPr>
              <w:t xml:space="preserve"> </w:t>
            </w:r>
            <w:r w:rsidRPr="004239E7">
              <w:rPr>
                <w:rFonts w:ascii="Times New Roman" w:eastAsia="Times New Roman" w:hAnsi="Times New Roman" w:cs="Times New Roman"/>
                <w:sz w:val="20"/>
                <w:szCs w:val="20"/>
                <w:lang w:eastAsia="pl-PL"/>
              </w:rPr>
              <w:t>nie można było określić wartości długó</w:t>
            </w:r>
            <w:r>
              <w:rPr>
                <w:rFonts w:ascii="Times New Roman" w:eastAsia="Times New Roman" w:hAnsi="Times New Roman" w:cs="Times New Roman"/>
                <w:sz w:val="20"/>
                <w:szCs w:val="20"/>
                <w:lang w:eastAsia="pl-PL"/>
              </w:rPr>
              <w:t>w odziedziczonych przez dzieci (s. 221). Jerzy Słyk stwierdził (s. 242), że: „</w:t>
            </w:r>
            <w:r w:rsidRPr="00193B79">
              <w:rPr>
                <w:rFonts w:ascii="Times New Roman" w:eastAsia="Times New Roman" w:hAnsi="Times New Roman" w:cs="Times New Roman"/>
                <w:i/>
                <w:sz w:val="20"/>
                <w:szCs w:val="20"/>
                <w:lang w:eastAsia="pl-PL"/>
              </w:rPr>
              <w:t xml:space="preserve">Akta badanych spraw rzadko dostarczały kompleksowych informacji na temat rodziców dziecka, ich kwalifikacji i odpowiedzialności, wykonywanej przez nich władzy rodzicielskiej, sytuacji majątkowej rodziny i dziecka. Ponadto w postępowaniach dotyczących złożenia w imieniu dziecka oświadczenia o odrzuceniu spadku w mniej niż 30% spraw możliwe było określenie wartości długów spadkowych. W mniej niż 1/4 wszystkich zbadanych spraw sądy przeprowadziły dowód z wywiadu środowiskowego kuratora </w:t>
            </w:r>
            <w:r w:rsidRPr="00193B79">
              <w:rPr>
                <w:rFonts w:ascii="Times New Roman" w:eastAsia="Times New Roman" w:hAnsi="Times New Roman" w:cs="Times New Roman"/>
                <w:i/>
                <w:sz w:val="20"/>
                <w:szCs w:val="20"/>
                <w:lang w:eastAsia="pl-PL"/>
              </w:rPr>
              <w:lastRenderedPageBreak/>
              <w:t>sądowego. Głównym źródłem informacji są z reguły wyjaśnienia samych uczestników postępowania (..)”.</w:t>
            </w:r>
            <w:r>
              <w:rPr>
                <w:rFonts w:ascii="Times New Roman" w:eastAsia="Times New Roman" w:hAnsi="Times New Roman" w:cs="Times New Roman"/>
                <w:sz w:val="20"/>
                <w:szCs w:val="20"/>
                <w:lang w:eastAsia="pl-PL"/>
              </w:rPr>
              <w:t xml:space="preserve"> Mimo tego aż w 94,2% spraw o zezwolenie na odrzucenie spadku wniosek został uwzględniony. Zważywszy na te ustalenia można założyć, iż w licznych przypadkach wiedza sądu spadku o różnych okolicznościach istotnych dla </w:t>
            </w:r>
            <w:r w:rsidR="00B96435">
              <w:rPr>
                <w:rFonts w:ascii="Times New Roman" w:eastAsia="Times New Roman" w:hAnsi="Times New Roman" w:cs="Times New Roman"/>
                <w:sz w:val="20"/>
                <w:szCs w:val="20"/>
                <w:lang w:eastAsia="pl-PL"/>
              </w:rPr>
              <w:t>oceny</w:t>
            </w:r>
            <w:r>
              <w:rPr>
                <w:rFonts w:ascii="Times New Roman" w:eastAsia="Times New Roman" w:hAnsi="Times New Roman" w:cs="Times New Roman"/>
                <w:sz w:val="20"/>
                <w:szCs w:val="20"/>
                <w:lang w:eastAsia="pl-PL"/>
              </w:rPr>
              <w:t xml:space="preserve"> czy dobro dziecka przemawia za przyjęciem czy też za odrzucenie spadku w danej sprawie (w szczególności wiedza o długach spadkowych) mogła być pełniejsza niż wiedza sądu opiekuńczego. Nie wynikało to jednak z błędnej koncepcji odnośnie do właściwości sądu opiekuńczego w sprawach o udzielenie stosownego zezwolenia, ale głównie (o ile nie wyłącznie) z niedoskonałości postępowania dowodowego przed sądem opiekuńczym. Być może więc należałoby w pierwszej kolejności podjąć działania zmierzające do poprawy orzecznictwa sądów opiekuńczych w sprawach dotyczących ochrony majątkowych interesów osób pozostających pod władza rodzicielską oraz osób pozostających pod opieką, </w:t>
            </w:r>
            <w:r w:rsidRPr="009C56B9">
              <w:rPr>
                <w:rFonts w:ascii="Times New Roman" w:eastAsia="Times New Roman" w:hAnsi="Times New Roman" w:cs="Times New Roman"/>
                <w:sz w:val="20"/>
                <w:szCs w:val="20"/>
                <w:lang w:eastAsia="pl-PL"/>
              </w:rPr>
              <w:t xml:space="preserve">o ile </w:t>
            </w:r>
            <w:r>
              <w:rPr>
                <w:rFonts w:ascii="Times New Roman" w:eastAsia="Times New Roman" w:hAnsi="Times New Roman" w:cs="Times New Roman"/>
                <w:sz w:val="20"/>
                <w:szCs w:val="20"/>
                <w:lang w:eastAsia="pl-PL"/>
              </w:rPr>
              <w:t xml:space="preserve">stan orzecznictwa </w:t>
            </w:r>
            <w:r w:rsidRPr="009C56B9">
              <w:rPr>
                <w:rFonts w:ascii="Times New Roman" w:eastAsia="Times New Roman" w:hAnsi="Times New Roman" w:cs="Times New Roman"/>
                <w:sz w:val="20"/>
                <w:szCs w:val="20"/>
                <w:lang w:eastAsia="pl-PL"/>
              </w:rPr>
              <w:t xml:space="preserve">nie uległ </w:t>
            </w:r>
            <w:r>
              <w:rPr>
                <w:rFonts w:ascii="Times New Roman" w:eastAsia="Times New Roman" w:hAnsi="Times New Roman" w:cs="Times New Roman"/>
                <w:sz w:val="20"/>
                <w:szCs w:val="20"/>
                <w:lang w:eastAsia="pl-PL"/>
              </w:rPr>
              <w:t xml:space="preserve">istotnej poprawie </w:t>
            </w:r>
            <w:r w:rsidRPr="009C56B9">
              <w:rPr>
                <w:rFonts w:ascii="Times New Roman" w:eastAsia="Times New Roman" w:hAnsi="Times New Roman" w:cs="Times New Roman"/>
                <w:sz w:val="20"/>
                <w:szCs w:val="20"/>
                <w:lang w:eastAsia="pl-PL"/>
              </w:rPr>
              <w:t>od daty wskazanego badania</w:t>
            </w:r>
            <w:r>
              <w:rPr>
                <w:rFonts w:ascii="Times New Roman" w:eastAsia="Times New Roman" w:hAnsi="Times New Roman" w:cs="Times New Roman"/>
                <w:sz w:val="20"/>
                <w:szCs w:val="20"/>
                <w:lang w:eastAsia="pl-PL"/>
              </w:rPr>
              <w:t xml:space="preserve"> (co wymagałoby weryfikacji przez aktualne badanie)</w:t>
            </w:r>
            <w:r w:rsidRPr="009C56B9">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t xml:space="preserve">Sąd opiekuńczy ma (bądź może uzyskać) wiedzę o całokształcie sytuacji dziecka i jego rodziny a także o całokształcie sytuacji osoby pozostającej pod opieką, jaką nie dysponuje sąd spadku. Stwarza to możliwość właściwej ochrony dobra wskazanych grup osób przez wydanie bądź odmowę zezwolenia na dokonanie rozważanej czynności. Dogłębnego badania i oceny wymagałaby też sama koncepcja stanów faktycznych w jakich sąd opiekuńczy powinien zezwalać rodzicom (opiekunowi) na dokonanie czynności zarządu majątkiem dziecka (osoby pozostającej pod opieką). W szczególności, czy nadal o konieczności zezwolenia powinna przesądzać ocena, że zamierzona czynność przekracza zakres zarządu „zwykłego”, czy też celowe byłoby bardziej precyzyjne opisanie w ustawie przypadków wymagających zezwolenia sądu. </w:t>
            </w:r>
          </w:p>
        </w:tc>
        <w:tc>
          <w:tcPr>
            <w:tcW w:w="4056" w:type="dxa"/>
          </w:tcPr>
          <w:p w14:paraId="0A860BB3" w14:textId="24A9CBF8" w:rsidR="00493077" w:rsidRDefault="003A3C83" w:rsidP="00493077">
            <w:pPr>
              <w:jc w:val="both"/>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lastRenderedPageBreak/>
              <w:t>Wyjaśnienie</w:t>
            </w:r>
          </w:p>
          <w:p w14:paraId="29F8170B" w14:textId="77777777" w:rsidR="00393C8B" w:rsidRDefault="00393C8B" w:rsidP="00493077">
            <w:pPr>
              <w:jc w:val="both"/>
              <w:rPr>
                <w:rFonts w:ascii="Times New Roman" w:eastAsia="Times New Roman" w:hAnsi="Times New Roman" w:cs="Times New Roman"/>
                <w:b/>
                <w:bCs/>
                <w:sz w:val="20"/>
                <w:szCs w:val="20"/>
                <w:lang w:eastAsia="pl-PL"/>
              </w:rPr>
            </w:pPr>
          </w:p>
          <w:p w14:paraId="2FF5D945" w14:textId="1DFD4EA6" w:rsidR="00DA7AB3" w:rsidRPr="00A90657" w:rsidRDefault="00DA7AB3" w:rsidP="00493077">
            <w:pPr>
              <w:jc w:val="both"/>
              <w:rPr>
                <w:rFonts w:ascii="Times New Roman" w:eastAsia="Times New Roman" w:hAnsi="Times New Roman" w:cs="Times New Roman"/>
                <w:sz w:val="20"/>
                <w:szCs w:val="20"/>
                <w:lang w:eastAsia="pl-PL"/>
              </w:rPr>
            </w:pPr>
            <w:r w:rsidRPr="00A90657">
              <w:rPr>
                <w:rFonts w:ascii="Times New Roman" w:eastAsia="Times New Roman" w:hAnsi="Times New Roman" w:cs="Times New Roman"/>
                <w:sz w:val="20"/>
                <w:szCs w:val="20"/>
                <w:lang w:eastAsia="pl-PL"/>
              </w:rPr>
              <w:t>W obecnym kształcie projekt zmierza do rezygnacji z konieczności</w:t>
            </w:r>
            <w:r w:rsidR="00BB363F" w:rsidRPr="00A90657">
              <w:rPr>
                <w:rFonts w:ascii="Times New Roman" w:eastAsia="Times New Roman" w:hAnsi="Times New Roman" w:cs="Times New Roman"/>
                <w:sz w:val="20"/>
                <w:szCs w:val="20"/>
                <w:lang w:eastAsia="pl-PL"/>
              </w:rPr>
              <w:t xml:space="preserve"> uzyskania zezwolenia sądu opiekuńczego </w:t>
            </w:r>
            <w:r w:rsidR="00B96435" w:rsidRPr="00A90657">
              <w:rPr>
                <w:rFonts w:ascii="Times New Roman" w:eastAsia="Times New Roman" w:hAnsi="Times New Roman" w:cs="Times New Roman"/>
                <w:sz w:val="20"/>
                <w:szCs w:val="20"/>
                <w:lang w:eastAsia="pl-PL"/>
              </w:rPr>
              <w:t>albo</w:t>
            </w:r>
            <w:r w:rsidR="00BB363F" w:rsidRPr="00A90657">
              <w:rPr>
                <w:rFonts w:ascii="Times New Roman" w:eastAsia="Times New Roman" w:hAnsi="Times New Roman" w:cs="Times New Roman"/>
                <w:sz w:val="20"/>
                <w:szCs w:val="20"/>
                <w:lang w:eastAsia="pl-PL"/>
              </w:rPr>
              <w:t xml:space="preserve"> w przypadkach wskazanych w przepisach szczególnych, sądu spadku, </w:t>
            </w:r>
            <w:r w:rsidR="00A90657">
              <w:rPr>
                <w:rFonts w:ascii="Times New Roman" w:eastAsia="Times New Roman" w:hAnsi="Times New Roman" w:cs="Times New Roman"/>
                <w:sz w:val="20"/>
                <w:szCs w:val="20"/>
                <w:lang w:eastAsia="pl-PL"/>
              </w:rPr>
              <w:t xml:space="preserve">na dokonanie </w:t>
            </w:r>
            <w:r w:rsidR="00BB363F" w:rsidRPr="00A90657">
              <w:rPr>
                <w:rFonts w:ascii="Times New Roman" w:eastAsia="Times New Roman" w:hAnsi="Times New Roman" w:cs="Times New Roman"/>
                <w:sz w:val="20"/>
                <w:szCs w:val="20"/>
                <w:lang w:eastAsia="pl-PL"/>
              </w:rPr>
              <w:t>czynnoś</w:t>
            </w:r>
            <w:r w:rsidR="00A90657">
              <w:rPr>
                <w:rFonts w:ascii="Times New Roman" w:eastAsia="Times New Roman" w:hAnsi="Times New Roman" w:cs="Times New Roman"/>
                <w:sz w:val="20"/>
                <w:szCs w:val="20"/>
                <w:lang w:eastAsia="pl-PL"/>
              </w:rPr>
              <w:t>ci</w:t>
            </w:r>
            <w:r w:rsidR="00BB363F" w:rsidRPr="00A90657">
              <w:rPr>
                <w:rFonts w:ascii="Times New Roman" w:eastAsia="Times New Roman" w:hAnsi="Times New Roman" w:cs="Times New Roman"/>
                <w:sz w:val="20"/>
                <w:szCs w:val="20"/>
                <w:lang w:eastAsia="pl-PL"/>
              </w:rPr>
              <w:t xml:space="preserve"> polegając</w:t>
            </w:r>
            <w:r w:rsidR="00A90657">
              <w:rPr>
                <w:rFonts w:ascii="Times New Roman" w:eastAsia="Times New Roman" w:hAnsi="Times New Roman" w:cs="Times New Roman"/>
                <w:sz w:val="20"/>
                <w:szCs w:val="20"/>
                <w:lang w:eastAsia="pl-PL"/>
              </w:rPr>
              <w:t>ej</w:t>
            </w:r>
            <w:r w:rsidR="00BB363F" w:rsidRPr="00A90657">
              <w:rPr>
                <w:rFonts w:ascii="Times New Roman" w:eastAsia="Times New Roman" w:hAnsi="Times New Roman" w:cs="Times New Roman"/>
                <w:sz w:val="20"/>
                <w:szCs w:val="20"/>
                <w:lang w:eastAsia="pl-PL"/>
              </w:rPr>
              <w:t xml:space="preserve"> na odrzuceniu spadku przez rodziców w imieniu dziecka, jeżeli dziecko jest powołane do dziedziczenia wskutek uprzedniego odrzucenia spadku przez rodzica, któremu w tym zakresie przysługuje władza rodzicielska, chyba że inny zstępny rodziców tego dziecka przyjmuje spadek.</w:t>
            </w:r>
          </w:p>
          <w:p w14:paraId="3BFA83E5" w14:textId="62FDFA65" w:rsidR="00DA7AB3" w:rsidRDefault="00DA7AB3" w:rsidP="00493077">
            <w:pPr>
              <w:jc w:val="both"/>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 xml:space="preserve">Wobec powyższego zgłoszone uwagi – przy uwzględnieniu obecnego rozwiązania – wydają się być bezprzedmiotowe. </w:t>
            </w:r>
          </w:p>
          <w:p w14:paraId="174538B6" w14:textId="01A4B012" w:rsidR="00167C74" w:rsidRDefault="00A90657" w:rsidP="00167C74">
            <w:pPr>
              <w:autoSpaceDE w:val="0"/>
              <w:autoSpaceDN w:val="0"/>
              <w:adjustRightInd w:val="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Aktualne brzmienie </w:t>
            </w:r>
            <w:r w:rsidR="00167C74">
              <w:rPr>
                <w:rFonts w:ascii="Times New Roman" w:eastAsia="Times New Roman" w:hAnsi="Times New Roman" w:cs="Times New Roman"/>
                <w:sz w:val="20"/>
                <w:szCs w:val="20"/>
                <w:lang w:eastAsia="pl-PL"/>
              </w:rPr>
              <w:t xml:space="preserve">projektowanego art. </w:t>
            </w:r>
            <w:r w:rsidR="0037097D">
              <w:rPr>
                <w:rFonts w:ascii="Times New Roman" w:eastAsia="Times New Roman" w:hAnsi="Times New Roman" w:cs="Times New Roman"/>
                <w:sz w:val="20"/>
                <w:szCs w:val="20"/>
                <w:lang w:eastAsia="pl-PL"/>
              </w:rPr>
              <w:t>2</w:t>
            </w:r>
            <w:r w:rsidR="003A3C83">
              <w:rPr>
                <w:rFonts w:ascii="Times New Roman" w:eastAsia="Times New Roman" w:hAnsi="Times New Roman" w:cs="Times New Roman"/>
                <w:sz w:val="20"/>
                <w:szCs w:val="20"/>
                <w:lang w:eastAsia="pl-PL"/>
              </w:rPr>
              <w:t xml:space="preserve"> brzmi następująco:</w:t>
            </w:r>
          </w:p>
          <w:p w14:paraId="54035250" w14:textId="6A596F2D" w:rsidR="00A90657" w:rsidRPr="00A90657" w:rsidRDefault="003A3C83" w:rsidP="00A90657">
            <w:pPr>
              <w:ind w:firstLine="426"/>
              <w:jc w:val="both"/>
              <w:rPr>
                <w:rFonts w:ascii="Times New Roman" w:hAnsi="Times New Roman"/>
                <w:sz w:val="20"/>
                <w:szCs w:val="20"/>
              </w:rPr>
            </w:pPr>
            <w:r>
              <w:rPr>
                <w:rFonts w:ascii="Times New Roman" w:hAnsi="Times New Roman"/>
                <w:b/>
                <w:bCs/>
                <w:sz w:val="20"/>
                <w:szCs w:val="20"/>
              </w:rPr>
              <w:t>„</w:t>
            </w:r>
            <w:r w:rsidR="00A90657" w:rsidRPr="00A90657">
              <w:rPr>
                <w:rFonts w:ascii="Times New Roman" w:hAnsi="Times New Roman"/>
                <w:b/>
                <w:bCs/>
                <w:sz w:val="20"/>
                <w:szCs w:val="20"/>
              </w:rPr>
              <w:t xml:space="preserve">Art. 2. </w:t>
            </w:r>
            <w:bookmarkStart w:id="2" w:name="_Hlk58417081"/>
            <w:r w:rsidR="00A90657" w:rsidRPr="00A90657">
              <w:rPr>
                <w:rFonts w:ascii="Times New Roman" w:hAnsi="Times New Roman"/>
                <w:sz w:val="20"/>
                <w:szCs w:val="20"/>
              </w:rPr>
              <w:t>W ustawie z dnia 25 lutego 1964 r. – Kodeks rodzinny i opiekuńczy (Dz. U. z 2020 r. poz. 1359)</w:t>
            </w:r>
            <w:bookmarkEnd w:id="2"/>
            <w:r w:rsidR="00A90657" w:rsidRPr="00A90657">
              <w:rPr>
                <w:rFonts w:ascii="Times New Roman" w:hAnsi="Times New Roman"/>
                <w:sz w:val="20"/>
                <w:szCs w:val="20"/>
              </w:rPr>
              <w:t xml:space="preserve"> wprowadza się następujące zmiany:</w:t>
            </w:r>
          </w:p>
          <w:p w14:paraId="1E79B895" w14:textId="77777777" w:rsidR="00A90657" w:rsidRPr="00A90657" w:rsidRDefault="00A90657" w:rsidP="00A90657">
            <w:pPr>
              <w:pStyle w:val="ZUSTzmustartykuempunktem"/>
              <w:numPr>
                <w:ilvl w:val="0"/>
                <w:numId w:val="25"/>
              </w:numPr>
              <w:spacing w:line="240" w:lineRule="auto"/>
              <w:rPr>
                <w:rFonts w:ascii="Times New Roman" w:hAnsi="Times New Roman" w:cs="Times New Roman"/>
                <w:sz w:val="20"/>
              </w:rPr>
            </w:pPr>
            <w:bookmarkStart w:id="3" w:name="_Hlk97794682"/>
            <w:r w:rsidRPr="00A90657">
              <w:rPr>
                <w:rFonts w:ascii="Times New Roman" w:hAnsi="Times New Roman" w:cs="Times New Roman"/>
                <w:sz w:val="20"/>
              </w:rPr>
              <w:t>w art. 101:</w:t>
            </w:r>
          </w:p>
          <w:p w14:paraId="3EAAE6B9" w14:textId="77777777" w:rsidR="00A90657" w:rsidRPr="00A90657" w:rsidRDefault="00A90657" w:rsidP="00A90657">
            <w:pPr>
              <w:pStyle w:val="ZUSTzmustartykuempunktem"/>
              <w:spacing w:line="240" w:lineRule="auto"/>
              <w:ind w:left="360" w:firstLine="0"/>
              <w:rPr>
                <w:rFonts w:ascii="Times New Roman" w:hAnsi="Times New Roman" w:cs="Times New Roman"/>
                <w:sz w:val="20"/>
              </w:rPr>
            </w:pPr>
            <w:r w:rsidRPr="00A90657">
              <w:rPr>
                <w:rFonts w:ascii="Times New Roman" w:hAnsi="Times New Roman" w:cs="Times New Roman"/>
                <w:sz w:val="20"/>
              </w:rPr>
              <w:t xml:space="preserve">a) § 3 otrzymuje brzmienie: </w:t>
            </w:r>
          </w:p>
          <w:p w14:paraId="3D6222B2" w14:textId="4CD3670D" w:rsidR="00A90657" w:rsidRPr="00A90657" w:rsidRDefault="00A90657" w:rsidP="00A90657">
            <w:pPr>
              <w:pStyle w:val="ZUSTzmustartykuempunktem"/>
              <w:spacing w:line="240" w:lineRule="auto"/>
              <w:ind w:left="360" w:firstLine="0"/>
              <w:rPr>
                <w:rFonts w:ascii="Times New Roman" w:hAnsi="Times New Roman" w:cs="Times New Roman"/>
                <w:sz w:val="20"/>
              </w:rPr>
            </w:pPr>
            <w:r w:rsidRPr="00A90657">
              <w:rPr>
                <w:rFonts w:ascii="Times New Roman" w:hAnsi="Times New Roman" w:cs="Times New Roman"/>
                <w:sz w:val="20"/>
              </w:rPr>
              <w:t xml:space="preserve">„§ 3. </w:t>
            </w:r>
            <w:r w:rsidRPr="003A3C83">
              <w:rPr>
                <w:rFonts w:ascii="Times New Roman" w:hAnsi="Times New Roman" w:cs="Times New Roman"/>
                <w:i/>
                <w:iCs/>
                <w:sz w:val="20"/>
              </w:rPr>
              <w:t xml:space="preserve">Rodzice nie mogą bez zezwolenia sądu opiekuńczego </w:t>
            </w:r>
            <w:r w:rsidR="00B96435" w:rsidRPr="003A3C83">
              <w:rPr>
                <w:rFonts w:ascii="Times New Roman" w:hAnsi="Times New Roman" w:cs="Times New Roman"/>
                <w:i/>
                <w:iCs/>
                <w:sz w:val="20"/>
              </w:rPr>
              <w:t>albo</w:t>
            </w:r>
            <w:r w:rsidRPr="003A3C83">
              <w:rPr>
                <w:rFonts w:ascii="Times New Roman" w:hAnsi="Times New Roman" w:cs="Times New Roman"/>
                <w:i/>
                <w:iCs/>
                <w:sz w:val="20"/>
              </w:rPr>
              <w:t xml:space="preserve"> w przypadkach wskazanych w przepisach szczególnych, sądu spadku, dokonywać czynności przekraczających zakres zwykłego zarządu ani wyrażać zgody na dokonywanie takich czynności przez dziecko</w:t>
            </w:r>
            <w:r w:rsidRPr="00A90657">
              <w:rPr>
                <w:rFonts w:ascii="Times New Roman" w:hAnsi="Times New Roman" w:cs="Times New Roman"/>
                <w:sz w:val="20"/>
              </w:rPr>
              <w:t xml:space="preserve">”. </w:t>
            </w:r>
          </w:p>
          <w:p w14:paraId="78D9D82F" w14:textId="2E49FD2D" w:rsidR="00A90657" w:rsidRPr="00A90657" w:rsidRDefault="00A90657" w:rsidP="00A90657">
            <w:pPr>
              <w:pStyle w:val="ZUSTzmustartykuempunktem"/>
              <w:spacing w:line="240" w:lineRule="auto"/>
              <w:ind w:left="360" w:firstLine="0"/>
              <w:rPr>
                <w:rFonts w:ascii="Times New Roman" w:hAnsi="Times New Roman" w:cs="Times New Roman"/>
                <w:sz w:val="20"/>
              </w:rPr>
            </w:pPr>
            <w:r w:rsidRPr="00A90657">
              <w:rPr>
                <w:rFonts w:ascii="Times New Roman" w:hAnsi="Times New Roman" w:cs="Times New Roman"/>
                <w:sz w:val="20"/>
              </w:rPr>
              <w:lastRenderedPageBreak/>
              <w:t xml:space="preserve">b) </w:t>
            </w:r>
            <w:r w:rsidRPr="00A90657">
              <w:rPr>
                <w:rFonts w:ascii="Times New Roman" w:hAnsi="Times New Roman"/>
                <w:sz w:val="20"/>
              </w:rPr>
              <w:t xml:space="preserve">po § 3 dodaje się § </w:t>
            </w:r>
            <w:r w:rsidR="00B96435" w:rsidRPr="00A90657">
              <w:rPr>
                <w:rFonts w:ascii="Times New Roman" w:hAnsi="Times New Roman"/>
                <w:sz w:val="20"/>
              </w:rPr>
              <w:t>4</w:t>
            </w:r>
            <w:r w:rsidR="00B96435" w:rsidRPr="00A90657">
              <w:rPr>
                <w:rFonts w:ascii="Times New Roman" w:hAnsi="Times New Roman"/>
                <w:sz w:val="20"/>
                <w:vertAlign w:val="superscript"/>
              </w:rPr>
              <w:t xml:space="preserve"> </w:t>
            </w:r>
            <w:r w:rsidR="00B96435" w:rsidRPr="00A90657">
              <w:rPr>
                <w:rFonts w:ascii="Times New Roman" w:hAnsi="Times New Roman"/>
                <w:sz w:val="20"/>
              </w:rPr>
              <w:t>i</w:t>
            </w:r>
            <w:r w:rsidRPr="00A90657">
              <w:rPr>
                <w:rFonts w:ascii="Times New Roman" w:hAnsi="Times New Roman"/>
                <w:sz w:val="20"/>
              </w:rPr>
              <w:t xml:space="preserve"> 5 w brzmieniu:</w:t>
            </w:r>
          </w:p>
          <w:p w14:paraId="584774E4" w14:textId="10AF0DA3" w:rsidR="00A90657" w:rsidRPr="00A90657" w:rsidRDefault="00A90657" w:rsidP="00A90657">
            <w:pPr>
              <w:pStyle w:val="ZUSTzmustartykuempunktem"/>
              <w:spacing w:line="240" w:lineRule="auto"/>
              <w:ind w:left="360" w:firstLine="0"/>
              <w:rPr>
                <w:rFonts w:ascii="Times New Roman" w:hAnsi="Times New Roman" w:cs="Times New Roman"/>
                <w:sz w:val="20"/>
              </w:rPr>
            </w:pPr>
            <w:r w:rsidRPr="00A90657">
              <w:rPr>
                <w:rFonts w:ascii="Times New Roman" w:hAnsi="Times New Roman" w:cs="Times New Roman"/>
                <w:sz w:val="20"/>
              </w:rPr>
              <w:t xml:space="preserve">„ § 4. </w:t>
            </w:r>
            <w:r w:rsidRPr="003A3C83">
              <w:rPr>
                <w:rFonts w:ascii="Times New Roman" w:hAnsi="Times New Roman" w:cs="Times New Roman"/>
                <w:i/>
                <w:iCs/>
                <w:sz w:val="20"/>
              </w:rPr>
              <w:t xml:space="preserve">Nie wymaga zezwolenia sądu opiekuńczego </w:t>
            </w:r>
            <w:r w:rsidR="00B96435" w:rsidRPr="003A3C83">
              <w:rPr>
                <w:rFonts w:ascii="Times New Roman" w:hAnsi="Times New Roman" w:cs="Times New Roman"/>
                <w:i/>
                <w:iCs/>
                <w:sz w:val="20"/>
              </w:rPr>
              <w:t>albo</w:t>
            </w:r>
            <w:r w:rsidRPr="003A3C83">
              <w:rPr>
                <w:rFonts w:ascii="Times New Roman" w:hAnsi="Times New Roman" w:cs="Times New Roman"/>
                <w:i/>
                <w:iCs/>
                <w:sz w:val="20"/>
              </w:rPr>
              <w:t xml:space="preserve"> w przypadkach wskazanych w przepisach szczególnych, sądu spadku, czynność polegająca na odrzuceniu spadku przez rodziców w imieniu dziecka, jeżeli dziecko jest powołane do dziedziczenia wskutek uprzedniego odrzucenia spadku przez rodzica, któremu w tym zakresie przysługuje władza rodzicielska, chyba że inny zstępny rodziców tego dziecka przyjmuje spadek</w:t>
            </w:r>
            <w:r w:rsidRPr="00A90657">
              <w:rPr>
                <w:rFonts w:ascii="Times New Roman" w:hAnsi="Times New Roman" w:cs="Times New Roman"/>
                <w:sz w:val="20"/>
              </w:rPr>
              <w:t xml:space="preserve">. </w:t>
            </w:r>
          </w:p>
          <w:p w14:paraId="485C255F" w14:textId="229CC919" w:rsidR="00A90657" w:rsidRPr="00A90657" w:rsidRDefault="00A90657" w:rsidP="00A90657">
            <w:pPr>
              <w:pStyle w:val="ZUSTzmustartykuempunktem"/>
              <w:spacing w:line="240" w:lineRule="auto"/>
              <w:ind w:left="360" w:firstLine="0"/>
              <w:rPr>
                <w:rFonts w:ascii="Times New Roman" w:hAnsi="Times New Roman" w:cs="Times New Roman"/>
                <w:sz w:val="20"/>
              </w:rPr>
            </w:pPr>
            <w:r w:rsidRPr="00A90657">
              <w:rPr>
                <w:rFonts w:ascii="Times New Roman" w:hAnsi="Times New Roman" w:cs="Times New Roman"/>
                <w:sz w:val="20"/>
              </w:rPr>
              <w:t xml:space="preserve">§ 5. </w:t>
            </w:r>
            <w:r w:rsidRPr="00640785">
              <w:rPr>
                <w:rFonts w:ascii="Times New Roman" w:hAnsi="Times New Roman" w:cs="Times New Roman"/>
                <w:i/>
                <w:iCs/>
                <w:sz w:val="20"/>
              </w:rPr>
              <w:t>Czynność, o której mowa w § 1 wymaga zgody drugiego rodzica, któremu także przysługuje władza rodzicielska, chyba że jest dokonywana przez rodziców wspólnie</w:t>
            </w:r>
            <w:r w:rsidRPr="00A90657">
              <w:rPr>
                <w:rFonts w:ascii="Times New Roman" w:hAnsi="Times New Roman" w:cs="Times New Roman"/>
                <w:sz w:val="20"/>
              </w:rPr>
              <w:t>.”.</w:t>
            </w:r>
          </w:p>
          <w:bookmarkEnd w:id="3"/>
          <w:p w14:paraId="12127F7D" w14:textId="77777777" w:rsidR="00A90657" w:rsidRPr="00A90657" w:rsidRDefault="00A90657" w:rsidP="00A90657">
            <w:pPr>
              <w:pStyle w:val="ZUSTzmustartykuempunktem"/>
              <w:numPr>
                <w:ilvl w:val="0"/>
                <w:numId w:val="25"/>
              </w:numPr>
              <w:spacing w:line="240" w:lineRule="auto"/>
              <w:rPr>
                <w:rFonts w:ascii="Times New Roman" w:eastAsia="Calibri" w:hAnsi="Times New Roman" w:cs="Times New Roman"/>
                <w:sz w:val="20"/>
                <w:lang w:eastAsia="en-US"/>
              </w:rPr>
            </w:pPr>
            <w:r w:rsidRPr="00A90657">
              <w:rPr>
                <w:rFonts w:ascii="Times New Roman" w:eastAsia="Calibri" w:hAnsi="Times New Roman" w:cs="Times New Roman"/>
                <w:sz w:val="20"/>
                <w:lang w:eastAsia="en-US"/>
              </w:rPr>
              <w:t>art. 156 otrzymuje brzmienie:</w:t>
            </w:r>
          </w:p>
          <w:p w14:paraId="454C6728" w14:textId="5A977260" w:rsidR="00C531C2" w:rsidRPr="00A90657" w:rsidRDefault="00A90657" w:rsidP="00A90657">
            <w:pPr>
              <w:pStyle w:val="ZUSTzmustartykuempunktem"/>
              <w:spacing w:line="240" w:lineRule="auto"/>
              <w:ind w:left="360" w:firstLine="0"/>
              <w:rPr>
                <w:rFonts w:ascii="Times New Roman" w:eastAsia="Calibri" w:hAnsi="Times New Roman" w:cs="Times New Roman"/>
                <w:sz w:val="20"/>
                <w:lang w:eastAsia="en-US"/>
              </w:rPr>
            </w:pPr>
            <w:r w:rsidRPr="00A90657">
              <w:rPr>
                <w:rFonts w:ascii="Times New Roman" w:eastAsia="Calibri" w:hAnsi="Times New Roman" w:cs="Times New Roman"/>
                <w:sz w:val="20"/>
                <w:lang w:eastAsia="en-US"/>
              </w:rPr>
              <w:t xml:space="preserve">„Art. 156. </w:t>
            </w:r>
            <w:r w:rsidRPr="00640785">
              <w:rPr>
                <w:rFonts w:ascii="Times New Roman" w:eastAsia="Calibri" w:hAnsi="Times New Roman" w:cs="Times New Roman"/>
                <w:i/>
                <w:iCs/>
                <w:sz w:val="20"/>
                <w:lang w:eastAsia="en-US"/>
              </w:rPr>
              <w:t>Opiekun powinien uzyskać zezwolenie sądu opiekuńczego albo, w przypadkach wskazanych w przepisach szczególnych, sądu spadku, we wszelkich ważniejszych sprawach, które dotyczą osoby lub majątku małoletniego</w:t>
            </w:r>
            <w:r w:rsidRPr="00A90657">
              <w:rPr>
                <w:rFonts w:ascii="Times New Roman" w:eastAsia="Calibri" w:hAnsi="Times New Roman" w:cs="Times New Roman"/>
                <w:sz w:val="20"/>
                <w:lang w:eastAsia="en-US"/>
              </w:rPr>
              <w:t>.”.</w:t>
            </w:r>
            <w:r w:rsidR="00640785">
              <w:rPr>
                <w:rFonts w:ascii="Times New Roman" w:eastAsia="Calibri" w:hAnsi="Times New Roman" w:cs="Times New Roman"/>
                <w:sz w:val="20"/>
                <w:lang w:eastAsia="en-US"/>
              </w:rPr>
              <w:t>”</w:t>
            </w:r>
          </w:p>
          <w:p w14:paraId="4E9FBED6" w14:textId="723FD6D2" w:rsidR="00C41BB0" w:rsidRPr="00D345DF" w:rsidRDefault="00C41BB0" w:rsidP="00BB363F">
            <w:pPr>
              <w:jc w:val="both"/>
              <w:rPr>
                <w:rFonts w:ascii="Times New Roman" w:hAnsi="Times New Roman" w:cs="Times New Roman"/>
                <w:color w:val="365F91" w:themeColor="accent1" w:themeShade="BF"/>
                <w:sz w:val="20"/>
              </w:rPr>
            </w:pPr>
          </w:p>
        </w:tc>
      </w:tr>
      <w:tr w:rsidR="00572BE2" w14:paraId="379F9101" w14:textId="77777777" w:rsidTr="00C51680">
        <w:trPr>
          <w:jc w:val="center"/>
        </w:trPr>
        <w:tc>
          <w:tcPr>
            <w:tcW w:w="561" w:type="dxa"/>
          </w:tcPr>
          <w:p w14:paraId="357DC94D" w14:textId="05EFB7E5" w:rsidR="00572BE2" w:rsidRDefault="00572BE2" w:rsidP="00C41BB0">
            <w:pPr>
              <w:spacing w:before="120"/>
              <w:ind w:right="-534"/>
              <w:rPr>
                <w:rFonts w:ascii="Times New Roman" w:hAnsi="Times New Roman" w:cs="Times New Roman"/>
                <w:b/>
                <w:sz w:val="20"/>
              </w:rPr>
            </w:pPr>
            <w:r>
              <w:rPr>
                <w:rFonts w:ascii="Times New Roman" w:hAnsi="Times New Roman" w:cs="Times New Roman"/>
                <w:b/>
                <w:sz w:val="20"/>
              </w:rPr>
              <w:lastRenderedPageBreak/>
              <w:t>5.</w:t>
            </w:r>
          </w:p>
        </w:tc>
        <w:tc>
          <w:tcPr>
            <w:tcW w:w="1841" w:type="dxa"/>
            <w:vAlign w:val="center"/>
          </w:tcPr>
          <w:p w14:paraId="35A07241" w14:textId="1E17C9D5" w:rsidR="00572BE2" w:rsidRPr="006D0389" w:rsidRDefault="00572BE2" w:rsidP="00C41BB0">
            <w:pPr>
              <w:spacing w:before="120" w:after="120"/>
              <w:jc w:val="center"/>
              <w:rPr>
                <w:rFonts w:ascii="Times New Roman" w:hAnsi="Times New Roman" w:cs="Times New Roman"/>
                <w:sz w:val="20"/>
                <w:szCs w:val="20"/>
              </w:rPr>
            </w:pPr>
            <w:r>
              <w:rPr>
                <w:rFonts w:ascii="Times New Roman" w:hAnsi="Times New Roman" w:cs="Times New Roman"/>
                <w:sz w:val="20"/>
                <w:szCs w:val="20"/>
              </w:rPr>
              <w:t>UODO</w:t>
            </w:r>
          </w:p>
        </w:tc>
        <w:tc>
          <w:tcPr>
            <w:tcW w:w="1883" w:type="dxa"/>
            <w:vAlign w:val="center"/>
          </w:tcPr>
          <w:p w14:paraId="674BF4F0" w14:textId="77777777" w:rsidR="00572BE2" w:rsidRDefault="00572BE2" w:rsidP="00C41BB0">
            <w:pPr>
              <w:rPr>
                <w:rFonts w:ascii="Times New Roman" w:hAnsi="Times New Roman" w:cs="Times New Roman"/>
                <w:sz w:val="20"/>
                <w:szCs w:val="20"/>
              </w:rPr>
            </w:pPr>
          </w:p>
        </w:tc>
        <w:tc>
          <w:tcPr>
            <w:tcW w:w="5653" w:type="dxa"/>
            <w:vAlign w:val="center"/>
          </w:tcPr>
          <w:p w14:paraId="31477309" w14:textId="77777777" w:rsidR="00572BE2" w:rsidRPr="007936CA" w:rsidRDefault="00572BE2" w:rsidP="00C41BB0">
            <w:pPr>
              <w:jc w:val="both"/>
              <w:rPr>
                <w:rFonts w:ascii="Times New Roman" w:hAnsi="Times New Roman" w:cs="Times New Roman"/>
                <w:sz w:val="20"/>
                <w:szCs w:val="20"/>
              </w:rPr>
            </w:pPr>
            <w:r w:rsidRPr="007936CA">
              <w:rPr>
                <w:rFonts w:ascii="Times New Roman" w:hAnsi="Times New Roman" w:cs="Times New Roman"/>
                <w:sz w:val="20"/>
                <w:szCs w:val="20"/>
              </w:rPr>
              <w:t xml:space="preserve">Na wstępie należy wskazać, że zgodnie z motywem 20 rozporządzenia Parlamentu Europejskiego i Rady (UE) 2016/679 z dnia 27 kwietna 2016 r. w sprawie ochrony osób fizycznych w związku z przetwarzaniem danych osobowych i w sprawie swobodnego przepływu takich danych oraz uchylenia dyrektywy 95/46/WE (ogólne rozporządzenie o ochronie danych) (Dz. Urz. UE </w:t>
            </w:r>
            <w:r w:rsidRPr="007936CA">
              <w:rPr>
                <w:rFonts w:ascii="Times New Roman" w:hAnsi="Times New Roman" w:cs="Times New Roman"/>
                <w:sz w:val="20"/>
                <w:szCs w:val="20"/>
              </w:rPr>
              <w:lastRenderedPageBreak/>
              <w:t>L 119 z 04.05.2016, str. 1, z późn. zm.</w:t>
            </w:r>
            <w:r w:rsidR="003E733B" w:rsidRPr="007936CA">
              <w:rPr>
                <w:rStyle w:val="Odwoanieprzypisudolnego"/>
                <w:rFonts w:ascii="Times New Roman" w:hAnsi="Times New Roman" w:cs="Times New Roman"/>
                <w:sz w:val="20"/>
                <w:szCs w:val="20"/>
              </w:rPr>
              <w:footnoteReference w:id="1"/>
            </w:r>
            <w:r w:rsidRPr="007936CA">
              <w:rPr>
                <w:rFonts w:ascii="Times New Roman" w:hAnsi="Times New Roman" w:cs="Times New Roman"/>
                <w:sz w:val="20"/>
                <w:szCs w:val="20"/>
              </w:rPr>
              <w:t>), dalej: rozporządzenie 2016/679, akt ten ma zastosowanie między innymi do działań sądów i innych organów wymiaru sprawiedliwości, niemniej prawo Unii lub prawo państwa członkowskiego może doprecyzować operacje i procedury przetwarzania danych osobowych przez sądy i inne organy wymiaru sprawiedliwości. Właściwość organów nadzorczych nie powinna dotyczyć przetwarzania danych osobowych przez sądy w ramach sprawowania wymiaru sprawiedliwości - tak by chronić niezawisłość sprawowania wymiaru sprawiedliwości. Powinna istnieć możliwość powierzenia nadzoru nad takimi operacjami przetwarzania danych specjalnym organom w systemie wymiaru sprawiedliwości państwa członkowskiego, organy te powinny w szczególności zapewnić przestrzeganie przepisów niniejszego rozporządzenia, zwiększać w wymiarze sprawiedliwości wiedzę o jego obowiązkach wynikających z niniejszego rozporządzenia oraz rozpatrywać skargi związane z takim operacjami przetwarzania danych.</w:t>
            </w:r>
          </w:p>
          <w:p w14:paraId="68008668" w14:textId="1581CC2B" w:rsidR="003E733B" w:rsidRPr="007936CA" w:rsidRDefault="003E733B" w:rsidP="00C41BB0">
            <w:pPr>
              <w:jc w:val="both"/>
              <w:rPr>
                <w:rFonts w:ascii="Times New Roman" w:eastAsia="Times New Roman" w:hAnsi="Times New Roman" w:cs="Times New Roman"/>
                <w:sz w:val="20"/>
                <w:szCs w:val="20"/>
                <w:lang w:eastAsia="pl-PL"/>
              </w:rPr>
            </w:pPr>
            <w:r w:rsidRPr="007936CA">
              <w:rPr>
                <w:rFonts w:ascii="Times New Roman" w:hAnsi="Times New Roman" w:cs="Times New Roman"/>
                <w:sz w:val="20"/>
                <w:szCs w:val="20"/>
              </w:rPr>
              <w:t xml:space="preserve">Rozwiązania zawarte w art. 3 pkt 1 art. 4, art. 6 i art. 7 projektu - zgodnie z intencją projektodawcy wyrażoną w uzasadnieniu do projektu - mają łącznie na celu zapewnienie </w:t>
            </w:r>
            <w:r w:rsidR="00B96435" w:rsidRPr="007936CA">
              <w:rPr>
                <w:rFonts w:ascii="Times New Roman" w:hAnsi="Times New Roman" w:cs="Times New Roman"/>
                <w:sz w:val="20"/>
                <w:szCs w:val="20"/>
              </w:rPr>
              <w:t>możliwości</w:t>
            </w:r>
            <w:r w:rsidRPr="007936CA">
              <w:rPr>
                <w:rFonts w:ascii="Times New Roman" w:hAnsi="Times New Roman" w:cs="Times New Roman"/>
                <w:sz w:val="20"/>
                <w:szCs w:val="20"/>
              </w:rPr>
              <w:t xml:space="preserve"> nieograniczonego w czasie sięgania do danych zgromadzonych w rejestrach, bazach i ewidencjach publicznych takich jak: Baza Usług Stanu Cywilnego, rejestr danych kontaktowych oraz ewidencja gruntów i budynków, na potrzeby prowadzonych postępowań nieprocesowych. Nie kwestionując faktu, że projektowane uprawnienia dla sądów wiążą się z przetwarzaniem danych osobowych w ramach sprawowania wymiaru sprawiedliwości nie sposób nie zauważyć, że rozwiązania te zasadniczo zmieniają dotychczasowy model przetwarzania danych osobowych w trakcie procesu cywilnego. Dostęp do danych osobowych z rejestrów publicznych za pośrednictwem systemów teleinformatycznych w formie teletransmisji generuje bowiem wiele ryzyk, związanych w szczególności z koniecznością zachowania poufności i integralności tych danych, a także w kontekście i zakresie cyberbezpieczeństwa. Wprowadzenie rozwiązania, zgodnie z którym w trakcie postępowania cywilnego można w nieograniczony sposób w formie </w:t>
            </w:r>
            <w:r w:rsidRPr="007936CA">
              <w:rPr>
                <w:rFonts w:ascii="Times New Roman" w:hAnsi="Times New Roman" w:cs="Times New Roman"/>
                <w:sz w:val="20"/>
                <w:szCs w:val="20"/>
              </w:rPr>
              <w:lastRenderedPageBreak/>
              <w:t>teletransmisji pozyskiwać dane osobowe z rejestrów publicznych wymaga głębokiej analizy i refleksji w kontekście wprowadzenia odpowiednich procedur uwzgledniających możliwe ryzyka dla przetwarzania w tej formie takich danych osobowych. Należy podkreślić, że dla oceny zaproponowanych w projekcie rozwiązań duże znaczenie powinna mieć treść motywu 31 rozporządzenia 2016/679, zdanie drugie w brzmieniu: Żądanie 1) Zmiany wymienionego rozporządzenia zostały ogłoszone w Dz. Urz. UE L 127 z 23.05.2018, str. 2 oraz Dz. Urz. UE L 74 z 4.03.2021, str. 35. 3 ujawnienia danych osobowych, z którym występują takie organy publiczne, powinno zawsze mieć formę pisemną, być uzasadnione, mieć charakter wyjątkowy, nie powinno dotyczyć całego zbioru danych ani prowadzić do połączenia zbiorów danych. Przetwarzając otrzymane dane osobowe, takie organy powinny przestrzegać mających zastosowanie przepisów o ochronie danych, zgodnie z celami przetwarzania. Warto wskazać również na wyrok TSUE C-201/14</w:t>
            </w:r>
            <w:r w:rsidR="002F02D7" w:rsidRPr="007936CA">
              <w:rPr>
                <w:rStyle w:val="Odwoanieprzypisudolnego"/>
                <w:rFonts w:ascii="Times New Roman" w:hAnsi="Times New Roman" w:cs="Times New Roman"/>
                <w:sz w:val="20"/>
                <w:szCs w:val="20"/>
              </w:rPr>
              <w:footnoteReference w:id="2"/>
            </w:r>
            <w:r w:rsidRPr="007936CA">
              <w:rPr>
                <w:rFonts w:ascii="Times New Roman" w:hAnsi="Times New Roman" w:cs="Times New Roman"/>
                <w:sz w:val="20"/>
                <w:szCs w:val="20"/>
              </w:rPr>
              <w:t xml:space="preserve"> w sprawie Sarmanda Bara, z którego treści wynika, że odrębne organy w ramach administracji publicznej należy traktować jako odrębnych administratorów z własnymi przesłankami, co w konsekwencji oznacza, że organ któremu w ramach administracji przekazuje się dane osobowe jest odbiorcą.</w:t>
            </w:r>
            <w:r w:rsidR="002F02D7" w:rsidRPr="007936CA">
              <w:rPr>
                <w:rFonts w:ascii="Times New Roman" w:hAnsi="Times New Roman" w:cs="Times New Roman"/>
                <w:sz w:val="20"/>
                <w:szCs w:val="20"/>
              </w:rPr>
              <w:t xml:space="preserve"> Trzeba również zwrócić uwagę, że podmioty zobowiązane do udostępniania sądom w drodze teletransmisji dostępu do prowadzeniu przez siebie rejestrów i baz nie przestają być administratorami zgromadzonych tam danych osobowych i cały czas ponoszą odpowiedzialność za legalność, celowość i proporcjonalność udostępnianych danych osobowych. A zatem, celem uniknięcia ryzyka łączenia zbiorów danych lub też przekazywania danych niezgodnie z celami, projektodawca powinien rozważyć wprowadzenie rozwiązań, które z jednej strony przyczynią się do usprawnienia procesów przetwarzania danych przez sądy w ramach sprawowania wymiaru sprawiedliwości, a z drugiej ograniczą ryzyka związane z tym przetwarzanie a także zapewnią administratorom tych zbiorów i baz danych realną kontrole nad tym procesem wynikającym z ich statusu. Na aspekt przetwarzania danych w trybie teletransmisji pod kątem stworzenia </w:t>
            </w:r>
            <w:r w:rsidR="002F02D7" w:rsidRPr="007936CA">
              <w:rPr>
                <w:rFonts w:ascii="Times New Roman" w:hAnsi="Times New Roman" w:cs="Times New Roman"/>
                <w:sz w:val="20"/>
                <w:szCs w:val="20"/>
              </w:rPr>
              <w:lastRenderedPageBreak/>
              <w:t>dodatkowych gwarancji normatywnych w związku z koniecznością realizacji zasady rozliczalności przez administratora udostępniającego, organ nadzorczy wielokrotnie zwracał uwagę w swoich opiniach legislacyjnych, a także w związku z doświadczeniami kontrolnymi. Troska o prawidłową ochronę danych osobowych osób, których dane dotyczą, wymaga, żeby projektodawca rozważył przeprowadzenie na potrzeby niniejszych zmian prawa testu prywatności – aby w tworzonych przepisach została uwzględniona ochrona prywatności i danych w fazie projektowania przedmiotowych przepisów prawa (art. 25 ust. 1 rozporządzenia 2016/679</w:t>
            </w:r>
            <w:r w:rsidR="002F02D7" w:rsidRPr="007936CA">
              <w:rPr>
                <w:rStyle w:val="Odwoanieprzypisudolnego"/>
                <w:rFonts w:ascii="Times New Roman" w:hAnsi="Times New Roman" w:cs="Times New Roman"/>
                <w:sz w:val="20"/>
                <w:szCs w:val="20"/>
              </w:rPr>
              <w:footnoteReference w:id="3"/>
            </w:r>
            <w:r w:rsidR="002F02D7" w:rsidRPr="007936CA">
              <w:rPr>
                <w:rFonts w:ascii="Times New Roman" w:hAnsi="Times New Roman" w:cs="Times New Roman"/>
                <w:sz w:val="20"/>
                <w:szCs w:val="20"/>
              </w:rPr>
              <w:t>) , oraz aby przeprowadzona została ocena skutków dla ochrony danych w ramach oceny skutków regulacji w związku z przyjęciem tej podstawy prawnej (art. 35 ust. 1</w:t>
            </w:r>
            <w:r w:rsidR="002F02D7" w:rsidRPr="007936CA">
              <w:rPr>
                <w:rStyle w:val="Odwoanieprzypisudolnego"/>
                <w:rFonts w:ascii="Times New Roman" w:hAnsi="Times New Roman" w:cs="Times New Roman"/>
                <w:sz w:val="20"/>
                <w:szCs w:val="20"/>
              </w:rPr>
              <w:footnoteReference w:id="4"/>
            </w:r>
            <w:r w:rsidR="002F02D7" w:rsidRPr="007936CA">
              <w:rPr>
                <w:rFonts w:ascii="Times New Roman" w:hAnsi="Times New Roman" w:cs="Times New Roman"/>
                <w:sz w:val="20"/>
                <w:szCs w:val="20"/>
              </w:rPr>
              <w:t xml:space="preserve"> i ust. 10 rozporządzenia 2016/679</w:t>
            </w:r>
            <w:r w:rsidR="002F02D7" w:rsidRPr="007936CA">
              <w:rPr>
                <w:rStyle w:val="Odwoanieprzypisudolnego"/>
                <w:rFonts w:ascii="Times New Roman" w:hAnsi="Times New Roman" w:cs="Times New Roman"/>
                <w:sz w:val="20"/>
                <w:szCs w:val="20"/>
              </w:rPr>
              <w:footnoteReference w:id="5"/>
            </w:r>
            <w:r w:rsidR="002F02D7" w:rsidRPr="007936CA">
              <w:rPr>
                <w:rFonts w:ascii="Times New Roman" w:hAnsi="Times New Roman" w:cs="Times New Roman"/>
                <w:sz w:val="20"/>
                <w:szCs w:val="20"/>
              </w:rPr>
              <w:t xml:space="preserve">). Przy wypracowywaniu rozwiązań prawnych powinno się uwzględniać wyniki takiej analizy, oceny skutków dla ochrony danych i ich wpływ na kształt i treść określonych regulacji stanowiących o dokonywaniu operacji na danych osobowych. Ma to istotne znaczenie w kontekście eliminowania - mocą stosownych regulacji - ryzyk naruszania praw i wolności osób fizycznych, których dane mają być i będą przetwarzane, o różnym prawdopodobieństwie wystąpienia i wadze zagrożeń, wynikających z określanych a następnie dokonywanych czynności przetwarzania danych, zważywszy na rodzaj przetwarzania - w szczególności z użyciem nowych technologii - ze </w:t>
            </w:r>
            <w:r w:rsidR="002F02D7" w:rsidRPr="007936CA">
              <w:rPr>
                <w:rFonts w:ascii="Times New Roman" w:hAnsi="Times New Roman" w:cs="Times New Roman"/>
                <w:sz w:val="20"/>
                <w:szCs w:val="20"/>
              </w:rPr>
              <w:lastRenderedPageBreak/>
              <w:t xml:space="preserve">względu na charakter, zakres, kontekst i cele przetwarzania. Dokonanie przez projektodawcę ww. czynności jest istotne dla wypracowania i przyjęcia w przepisach prawa regulacji zabezpieczających poszanowanie zasad dotyczących przetwarzania danych osobowych gwarantujących ochronę praw osób, których dane miałyby w proponowany sposób być przetwarzane a także zgodnie z motywem 20 rozporządzenia 2016/679 </w:t>
            </w:r>
            <w:r w:rsidR="00B96435" w:rsidRPr="007936CA">
              <w:rPr>
                <w:rFonts w:ascii="Times New Roman" w:hAnsi="Times New Roman" w:cs="Times New Roman"/>
                <w:sz w:val="20"/>
                <w:szCs w:val="20"/>
              </w:rPr>
              <w:t>przyczyniłoby</w:t>
            </w:r>
            <w:r w:rsidR="002F02D7" w:rsidRPr="007936CA">
              <w:rPr>
                <w:rFonts w:ascii="Times New Roman" w:hAnsi="Times New Roman" w:cs="Times New Roman"/>
                <w:sz w:val="20"/>
                <w:szCs w:val="20"/>
              </w:rPr>
              <w:t xml:space="preserve"> się do przestrzeganie przepisów rozporządzenia 2016/679 w ramach sprawowania wymiaru sprawiedliwości przez sądy cywilne.</w:t>
            </w:r>
          </w:p>
        </w:tc>
        <w:tc>
          <w:tcPr>
            <w:tcW w:w="4056" w:type="dxa"/>
          </w:tcPr>
          <w:p w14:paraId="69670A06" w14:textId="2D98C375" w:rsidR="00C531C2" w:rsidRDefault="00C531C2" w:rsidP="00C531C2">
            <w:pPr>
              <w:jc w:val="both"/>
              <w:rPr>
                <w:rFonts w:ascii="Times New Roman" w:eastAsia="Times New Roman" w:hAnsi="Times New Roman" w:cs="Times New Roman"/>
                <w:b/>
                <w:bCs/>
                <w:sz w:val="20"/>
                <w:szCs w:val="20"/>
                <w:lang w:eastAsia="pl-PL"/>
              </w:rPr>
            </w:pPr>
            <w:r w:rsidRPr="00C87548">
              <w:rPr>
                <w:rFonts w:ascii="Times New Roman" w:eastAsia="Times New Roman" w:hAnsi="Times New Roman" w:cs="Times New Roman"/>
                <w:b/>
                <w:bCs/>
                <w:sz w:val="20"/>
                <w:szCs w:val="20"/>
                <w:lang w:eastAsia="pl-PL"/>
              </w:rPr>
              <w:lastRenderedPageBreak/>
              <w:t>Wyjaśnienie</w:t>
            </w:r>
          </w:p>
          <w:p w14:paraId="588F3DC3" w14:textId="77777777" w:rsidR="00393C8B" w:rsidRDefault="00393C8B" w:rsidP="00C531C2">
            <w:pPr>
              <w:jc w:val="both"/>
              <w:rPr>
                <w:rFonts w:ascii="Times New Roman" w:eastAsia="Times New Roman" w:hAnsi="Times New Roman" w:cs="Times New Roman"/>
                <w:b/>
                <w:bCs/>
                <w:sz w:val="20"/>
                <w:szCs w:val="20"/>
                <w:lang w:eastAsia="pl-PL"/>
              </w:rPr>
            </w:pPr>
          </w:p>
          <w:p w14:paraId="483BE50B" w14:textId="77777777" w:rsidR="00BB363F" w:rsidRDefault="00C531C2" w:rsidP="00BB363F">
            <w:pPr>
              <w:jc w:val="both"/>
              <w:rPr>
                <w:rFonts w:ascii="Times New Roman" w:eastAsia="Times New Roman" w:hAnsi="Times New Roman" w:cs="Times New Roman"/>
                <w:sz w:val="20"/>
                <w:szCs w:val="20"/>
                <w:lang w:eastAsia="pl-PL"/>
              </w:rPr>
            </w:pPr>
            <w:r w:rsidRPr="00C531C2">
              <w:rPr>
                <w:rFonts w:ascii="Times New Roman" w:eastAsia="Times New Roman" w:hAnsi="Times New Roman" w:cs="Times New Roman"/>
                <w:sz w:val="20"/>
                <w:szCs w:val="20"/>
                <w:lang w:eastAsia="pl-PL"/>
              </w:rPr>
              <w:t>W pierwszym rzędzie wskazać należy, że</w:t>
            </w:r>
            <w:r w:rsidR="006B4F64">
              <w:rPr>
                <w:rFonts w:ascii="Times New Roman" w:eastAsia="Times New Roman" w:hAnsi="Times New Roman" w:cs="Times New Roman"/>
                <w:sz w:val="20"/>
                <w:szCs w:val="20"/>
                <w:lang w:eastAsia="pl-PL"/>
              </w:rPr>
              <w:t xml:space="preserve"> </w:t>
            </w:r>
            <w:r w:rsidRPr="00C531C2">
              <w:rPr>
                <w:rFonts w:ascii="Times New Roman" w:eastAsia="Times New Roman" w:hAnsi="Times New Roman" w:cs="Times New Roman"/>
                <w:sz w:val="20"/>
                <w:szCs w:val="20"/>
                <w:lang w:eastAsia="pl-PL"/>
              </w:rPr>
              <w:t xml:space="preserve">projektowane zmiany </w:t>
            </w:r>
            <w:r w:rsidRPr="00C531C2">
              <w:rPr>
                <w:rFonts w:ascii="Times New Roman" w:eastAsia="Times New Roman" w:hAnsi="Times New Roman" w:cs="Times New Roman"/>
                <w:b/>
                <w:bCs/>
                <w:sz w:val="20"/>
                <w:szCs w:val="20"/>
                <w:u w:val="single"/>
                <w:lang w:eastAsia="pl-PL"/>
              </w:rPr>
              <w:t>mają na celu</w:t>
            </w:r>
            <w:r w:rsidR="006B4F64">
              <w:rPr>
                <w:rFonts w:ascii="Times New Roman" w:eastAsia="Times New Roman" w:hAnsi="Times New Roman" w:cs="Times New Roman"/>
                <w:b/>
                <w:bCs/>
                <w:sz w:val="20"/>
                <w:szCs w:val="20"/>
                <w:u w:val="single"/>
                <w:lang w:eastAsia="pl-PL"/>
              </w:rPr>
              <w:t xml:space="preserve"> </w:t>
            </w:r>
            <w:r w:rsidRPr="00C531C2">
              <w:rPr>
                <w:rFonts w:ascii="Times New Roman" w:eastAsia="Times New Roman" w:hAnsi="Times New Roman" w:cs="Times New Roman"/>
                <w:b/>
                <w:bCs/>
                <w:sz w:val="20"/>
                <w:szCs w:val="20"/>
                <w:u w:val="single"/>
                <w:lang w:eastAsia="pl-PL"/>
              </w:rPr>
              <w:t>zapewnienie</w:t>
            </w:r>
            <w:r>
              <w:rPr>
                <w:rFonts w:ascii="Times New Roman" w:eastAsia="Times New Roman" w:hAnsi="Times New Roman" w:cs="Times New Roman"/>
                <w:b/>
                <w:bCs/>
                <w:sz w:val="20"/>
                <w:szCs w:val="20"/>
                <w:u w:val="single"/>
                <w:lang w:eastAsia="pl-PL"/>
              </w:rPr>
              <w:t xml:space="preserve"> </w:t>
            </w:r>
            <w:r w:rsidRPr="00C531C2">
              <w:rPr>
                <w:rFonts w:ascii="Times New Roman" w:eastAsia="Times New Roman" w:hAnsi="Times New Roman" w:cs="Times New Roman"/>
                <w:b/>
                <w:bCs/>
                <w:sz w:val="20"/>
                <w:szCs w:val="20"/>
                <w:u w:val="single"/>
                <w:lang w:eastAsia="pl-PL"/>
              </w:rPr>
              <w:t>potencjalnej możliwości</w:t>
            </w:r>
            <w:r w:rsidR="006B4F64">
              <w:rPr>
                <w:rFonts w:ascii="Times New Roman" w:eastAsia="Times New Roman" w:hAnsi="Times New Roman" w:cs="Times New Roman"/>
                <w:b/>
                <w:bCs/>
                <w:sz w:val="20"/>
                <w:szCs w:val="20"/>
                <w:u w:val="single"/>
                <w:lang w:eastAsia="pl-PL"/>
              </w:rPr>
              <w:t xml:space="preserve"> </w:t>
            </w:r>
            <w:r w:rsidRPr="00C531C2">
              <w:rPr>
                <w:rFonts w:ascii="Times New Roman" w:eastAsia="Times New Roman" w:hAnsi="Times New Roman" w:cs="Times New Roman"/>
                <w:sz w:val="20"/>
                <w:szCs w:val="20"/>
                <w:lang w:eastAsia="pl-PL"/>
              </w:rPr>
              <w:t>sięgania do danych</w:t>
            </w:r>
            <w:r w:rsidR="006B4F64">
              <w:rPr>
                <w:rFonts w:ascii="Times New Roman" w:eastAsia="Times New Roman" w:hAnsi="Times New Roman" w:cs="Times New Roman"/>
                <w:sz w:val="20"/>
                <w:szCs w:val="20"/>
                <w:lang w:eastAsia="pl-PL"/>
              </w:rPr>
              <w:t xml:space="preserve"> </w:t>
            </w:r>
            <w:r w:rsidRPr="00C531C2">
              <w:rPr>
                <w:rFonts w:ascii="Times New Roman" w:eastAsia="Times New Roman" w:hAnsi="Times New Roman" w:cs="Times New Roman"/>
                <w:sz w:val="20"/>
                <w:szCs w:val="20"/>
                <w:lang w:eastAsia="pl-PL"/>
              </w:rPr>
              <w:t>zgromadzonych w</w:t>
            </w:r>
            <w:r>
              <w:rPr>
                <w:rFonts w:ascii="Times New Roman" w:eastAsia="Times New Roman" w:hAnsi="Times New Roman" w:cs="Times New Roman"/>
                <w:sz w:val="20"/>
                <w:szCs w:val="20"/>
                <w:lang w:eastAsia="pl-PL"/>
              </w:rPr>
              <w:t xml:space="preserve"> </w:t>
            </w:r>
            <w:r w:rsidRPr="00C531C2">
              <w:rPr>
                <w:rFonts w:ascii="Times New Roman" w:eastAsia="Times New Roman" w:hAnsi="Times New Roman" w:cs="Times New Roman"/>
                <w:sz w:val="20"/>
                <w:szCs w:val="20"/>
                <w:lang w:eastAsia="pl-PL"/>
              </w:rPr>
              <w:t xml:space="preserve">rejestrach, bazach </w:t>
            </w:r>
            <w:r w:rsidRPr="00C531C2">
              <w:rPr>
                <w:rFonts w:ascii="Times New Roman" w:eastAsia="Times New Roman" w:hAnsi="Times New Roman" w:cs="Times New Roman"/>
                <w:sz w:val="20"/>
                <w:szCs w:val="20"/>
                <w:lang w:eastAsia="pl-PL"/>
              </w:rPr>
              <w:lastRenderedPageBreak/>
              <w:t>i</w:t>
            </w:r>
            <w:r w:rsidR="005A2FE0">
              <w:rPr>
                <w:rFonts w:ascii="Times New Roman" w:eastAsia="Times New Roman" w:hAnsi="Times New Roman" w:cs="Times New Roman"/>
                <w:sz w:val="20"/>
                <w:szCs w:val="20"/>
                <w:lang w:eastAsia="pl-PL"/>
              </w:rPr>
              <w:t xml:space="preserve"> </w:t>
            </w:r>
            <w:r w:rsidRPr="00C531C2">
              <w:rPr>
                <w:rFonts w:ascii="Times New Roman" w:eastAsia="Times New Roman" w:hAnsi="Times New Roman" w:cs="Times New Roman"/>
                <w:sz w:val="20"/>
                <w:szCs w:val="20"/>
                <w:lang w:eastAsia="pl-PL"/>
              </w:rPr>
              <w:t>ewidencjach publicznych takich jak: Baza Usług</w:t>
            </w:r>
            <w:r w:rsidR="005A2FE0">
              <w:rPr>
                <w:rFonts w:ascii="Times New Roman" w:eastAsia="Times New Roman" w:hAnsi="Times New Roman" w:cs="Times New Roman"/>
                <w:sz w:val="20"/>
                <w:szCs w:val="20"/>
                <w:lang w:eastAsia="pl-PL"/>
              </w:rPr>
              <w:t xml:space="preserve"> </w:t>
            </w:r>
            <w:r w:rsidRPr="00C531C2">
              <w:rPr>
                <w:rFonts w:ascii="Times New Roman" w:eastAsia="Times New Roman" w:hAnsi="Times New Roman" w:cs="Times New Roman"/>
                <w:sz w:val="20"/>
                <w:szCs w:val="20"/>
                <w:lang w:eastAsia="pl-PL"/>
              </w:rPr>
              <w:t>Stanu Cywilnego, rejestr</w:t>
            </w:r>
            <w:r>
              <w:rPr>
                <w:rFonts w:ascii="Times New Roman" w:eastAsia="Times New Roman" w:hAnsi="Times New Roman" w:cs="Times New Roman"/>
                <w:sz w:val="20"/>
                <w:szCs w:val="20"/>
                <w:lang w:eastAsia="pl-PL"/>
              </w:rPr>
              <w:t xml:space="preserve"> </w:t>
            </w:r>
            <w:r w:rsidRPr="00C531C2">
              <w:rPr>
                <w:rFonts w:ascii="Times New Roman" w:eastAsia="Times New Roman" w:hAnsi="Times New Roman" w:cs="Times New Roman"/>
                <w:sz w:val="20"/>
                <w:szCs w:val="20"/>
                <w:lang w:eastAsia="pl-PL"/>
              </w:rPr>
              <w:t>danych kontaktowych</w:t>
            </w:r>
            <w:r w:rsidR="0040319B">
              <w:rPr>
                <w:rFonts w:ascii="Times New Roman" w:eastAsia="Times New Roman" w:hAnsi="Times New Roman" w:cs="Times New Roman"/>
                <w:sz w:val="20"/>
                <w:szCs w:val="20"/>
                <w:lang w:eastAsia="pl-PL"/>
              </w:rPr>
              <w:t xml:space="preserve">, </w:t>
            </w:r>
            <w:r w:rsidRPr="00C531C2">
              <w:rPr>
                <w:rFonts w:ascii="Times New Roman" w:eastAsia="Times New Roman" w:hAnsi="Times New Roman" w:cs="Times New Roman"/>
                <w:sz w:val="20"/>
                <w:szCs w:val="20"/>
                <w:lang w:eastAsia="pl-PL"/>
              </w:rPr>
              <w:t>ewidencja gruntów i budynków</w:t>
            </w:r>
            <w:r w:rsidR="0040319B">
              <w:rPr>
                <w:rFonts w:ascii="Times New Roman" w:eastAsia="Times New Roman" w:hAnsi="Times New Roman" w:cs="Times New Roman"/>
                <w:sz w:val="20"/>
                <w:szCs w:val="20"/>
                <w:lang w:eastAsia="pl-PL"/>
              </w:rPr>
              <w:t xml:space="preserve"> czy ZSIN (</w:t>
            </w:r>
            <w:r w:rsidR="00AA318F">
              <w:rPr>
                <w:rFonts w:ascii="Times New Roman" w:eastAsia="Times New Roman" w:hAnsi="Times New Roman" w:cs="Times New Roman"/>
                <w:sz w:val="20"/>
                <w:szCs w:val="20"/>
                <w:lang w:eastAsia="pl-PL"/>
              </w:rPr>
              <w:t>Z</w:t>
            </w:r>
            <w:r w:rsidR="0040319B">
              <w:rPr>
                <w:rFonts w:ascii="Times New Roman" w:eastAsia="Times New Roman" w:hAnsi="Times New Roman" w:cs="Times New Roman"/>
                <w:sz w:val="20"/>
                <w:szCs w:val="20"/>
                <w:lang w:eastAsia="pl-PL"/>
              </w:rPr>
              <w:t xml:space="preserve">integrowany </w:t>
            </w:r>
            <w:r w:rsidR="00AA318F">
              <w:rPr>
                <w:rFonts w:ascii="Times New Roman" w:eastAsia="Times New Roman" w:hAnsi="Times New Roman" w:cs="Times New Roman"/>
                <w:sz w:val="20"/>
                <w:szCs w:val="20"/>
                <w:lang w:eastAsia="pl-PL"/>
              </w:rPr>
              <w:t>S</w:t>
            </w:r>
            <w:r w:rsidR="0040319B">
              <w:rPr>
                <w:rFonts w:ascii="Times New Roman" w:eastAsia="Times New Roman" w:hAnsi="Times New Roman" w:cs="Times New Roman"/>
                <w:sz w:val="20"/>
                <w:szCs w:val="20"/>
                <w:lang w:eastAsia="pl-PL"/>
              </w:rPr>
              <w:t xml:space="preserve">ystem </w:t>
            </w:r>
            <w:r w:rsidR="00AA318F">
              <w:rPr>
                <w:rFonts w:ascii="Times New Roman" w:eastAsia="Times New Roman" w:hAnsi="Times New Roman" w:cs="Times New Roman"/>
                <w:sz w:val="20"/>
                <w:szCs w:val="20"/>
                <w:lang w:eastAsia="pl-PL"/>
              </w:rPr>
              <w:t>I</w:t>
            </w:r>
            <w:r w:rsidR="0040319B">
              <w:rPr>
                <w:rFonts w:ascii="Times New Roman" w:eastAsia="Times New Roman" w:hAnsi="Times New Roman" w:cs="Times New Roman"/>
                <w:sz w:val="20"/>
                <w:szCs w:val="20"/>
                <w:lang w:eastAsia="pl-PL"/>
              </w:rPr>
              <w:t xml:space="preserve">nformacji o </w:t>
            </w:r>
            <w:r w:rsidR="00AA318F">
              <w:rPr>
                <w:rFonts w:ascii="Times New Roman" w:eastAsia="Times New Roman" w:hAnsi="Times New Roman" w:cs="Times New Roman"/>
                <w:sz w:val="20"/>
                <w:szCs w:val="20"/>
                <w:lang w:eastAsia="pl-PL"/>
              </w:rPr>
              <w:t>N</w:t>
            </w:r>
            <w:r w:rsidR="0040319B">
              <w:rPr>
                <w:rFonts w:ascii="Times New Roman" w:eastAsia="Times New Roman" w:hAnsi="Times New Roman" w:cs="Times New Roman"/>
                <w:sz w:val="20"/>
                <w:szCs w:val="20"/>
                <w:lang w:eastAsia="pl-PL"/>
              </w:rPr>
              <w:t>ieruchomościach)</w:t>
            </w:r>
            <w:r w:rsidRPr="00C531C2">
              <w:rPr>
                <w:rFonts w:ascii="Times New Roman" w:eastAsia="Times New Roman" w:hAnsi="Times New Roman" w:cs="Times New Roman"/>
                <w:sz w:val="20"/>
                <w:szCs w:val="20"/>
                <w:lang w:eastAsia="pl-PL"/>
              </w:rPr>
              <w:t>, na</w:t>
            </w:r>
            <w:r w:rsidR="005A2FE0">
              <w:rPr>
                <w:rFonts w:ascii="Times New Roman" w:eastAsia="Times New Roman" w:hAnsi="Times New Roman" w:cs="Times New Roman"/>
                <w:sz w:val="20"/>
                <w:szCs w:val="20"/>
                <w:lang w:eastAsia="pl-PL"/>
              </w:rPr>
              <w:t xml:space="preserve"> </w:t>
            </w:r>
            <w:r w:rsidRPr="00C531C2">
              <w:rPr>
                <w:rFonts w:ascii="Times New Roman" w:eastAsia="Times New Roman" w:hAnsi="Times New Roman" w:cs="Times New Roman"/>
                <w:sz w:val="20"/>
                <w:szCs w:val="20"/>
                <w:lang w:eastAsia="pl-PL"/>
              </w:rPr>
              <w:t>potrzeby prowadzonych</w:t>
            </w:r>
            <w:r>
              <w:rPr>
                <w:rFonts w:ascii="Times New Roman" w:eastAsia="Times New Roman" w:hAnsi="Times New Roman" w:cs="Times New Roman"/>
                <w:sz w:val="20"/>
                <w:szCs w:val="20"/>
                <w:lang w:eastAsia="pl-PL"/>
              </w:rPr>
              <w:t xml:space="preserve"> </w:t>
            </w:r>
            <w:r w:rsidRPr="00C531C2">
              <w:rPr>
                <w:rFonts w:ascii="Times New Roman" w:eastAsia="Times New Roman" w:hAnsi="Times New Roman" w:cs="Times New Roman"/>
                <w:sz w:val="20"/>
                <w:szCs w:val="20"/>
                <w:lang w:eastAsia="pl-PL"/>
              </w:rPr>
              <w:t>postępowań</w:t>
            </w:r>
            <w:r>
              <w:rPr>
                <w:rFonts w:ascii="Times New Roman" w:eastAsia="Times New Roman" w:hAnsi="Times New Roman" w:cs="Times New Roman"/>
                <w:sz w:val="20"/>
                <w:szCs w:val="20"/>
                <w:lang w:eastAsia="pl-PL"/>
              </w:rPr>
              <w:t>.</w:t>
            </w:r>
            <w:r w:rsidR="006B4F64">
              <w:rPr>
                <w:rFonts w:ascii="Times New Roman" w:eastAsia="Times New Roman" w:hAnsi="Times New Roman" w:cs="Times New Roman"/>
                <w:sz w:val="20"/>
                <w:szCs w:val="20"/>
                <w:lang w:eastAsia="pl-PL"/>
              </w:rPr>
              <w:t xml:space="preserve"> </w:t>
            </w:r>
          </w:p>
          <w:p w14:paraId="7C91B174" w14:textId="336749B6" w:rsidR="00640785" w:rsidRDefault="0040319B" w:rsidP="00BB363F">
            <w:pPr>
              <w:jc w:val="both"/>
              <w:rPr>
                <w:rFonts w:ascii="Times New Roman" w:eastAsia="Times New Roman" w:hAnsi="Times New Roman" w:cs="Times New Roman"/>
                <w:sz w:val="20"/>
                <w:szCs w:val="20"/>
                <w:lang w:eastAsia="pl-PL"/>
              </w:rPr>
            </w:pPr>
            <w:r w:rsidRPr="00BB363F">
              <w:rPr>
                <w:rFonts w:ascii="Times New Roman" w:eastAsia="Times New Roman" w:hAnsi="Times New Roman" w:cs="Times New Roman"/>
                <w:sz w:val="20"/>
                <w:szCs w:val="20"/>
                <w:lang w:eastAsia="pl-PL"/>
              </w:rPr>
              <w:t>Zaznaczenia wymaga, że p</w:t>
            </w:r>
            <w:r w:rsidR="006B4F64" w:rsidRPr="00BB363F">
              <w:rPr>
                <w:rFonts w:ascii="Times New Roman" w:eastAsia="Times New Roman" w:hAnsi="Times New Roman" w:cs="Times New Roman"/>
                <w:sz w:val="20"/>
                <w:szCs w:val="20"/>
                <w:lang w:eastAsia="pl-PL"/>
              </w:rPr>
              <w:t xml:space="preserve">roponowane zmiany </w:t>
            </w:r>
            <w:r w:rsidR="00274F1E" w:rsidRPr="00BB363F">
              <w:rPr>
                <w:rFonts w:ascii="Times New Roman" w:eastAsia="Times New Roman" w:hAnsi="Times New Roman" w:cs="Times New Roman"/>
                <w:sz w:val="20"/>
                <w:szCs w:val="20"/>
                <w:lang w:eastAsia="pl-PL"/>
              </w:rPr>
              <w:t xml:space="preserve">nie wprowadzają innych rozwiązań niż dotychczas funkcjonujące. Oczywiste jest, że sądy </w:t>
            </w:r>
            <w:r w:rsidR="001D136A" w:rsidRPr="00BB363F">
              <w:rPr>
                <w:rFonts w:ascii="Times New Roman" w:eastAsia="Times New Roman" w:hAnsi="Times New Roman" w:cs="Times New Roman"/>
                <w:sz w:val="20"/>
                <w:szCs w:val="20"/>
                <w:lang w:eastAsia="pl-PL"/>
              </w:rPr>
              <w:t xml:space="preserve">będą </w:t>
            </w:r>
            <w:r w:rsidR="00024ADB" w:rsidRPr="00BB363F">
              <w:rPr>
                <w:rFonts w:ascii="Times New Roman" w:eastAsia="Times New Roman" w:hAnsi="Times New Roman" w:cs="Times New Roman"/>
                <w:sz w:val="20"/>
                <w:szCs w:val="20"/>
                <w:lang w:eastAsia="pl-PL"/>
              </w:rPr>
              <w:t>sięgać</w:t>
            </w:r>
            <w:r w:rsidR="001D136A" w:rsidRPr="00BB363F">
              <w:rPr>
                <w:rFonts w:ascii="Times New Roman" w:eastAsia="Times New Roman" w:hAnsi="Times New Roman" w:cs="Times New Roman"/>
                <w:sz w:val="20"/>
                <w:szCs w:val="20"/>
                <w:lang w:eastAsia="pl-PL"/>
              </w:rPr>
              <w:t xml:space="preserve"> do odpowiednich rejestrów/</w:t>
            </w:r>
            <w:r w:rsidR="00AA318F" w:rsidRPr="00BB363F">
              <w:rPr>
                <w:rFonts w:ascii="Times New Roman" w:eastAsia="Times New Roman" w:hAnsi="Times New Roman" w:cs="Times New Roman"/>
                <w:sz w:val="20"/>
                <w:szCs w:val="20"/>
                <w:lang w:eastAsia="pl-PL"/>
              </w:rPr>
              <w:t>baz/</w:t>
            </w:r>
            <w:r w:rsidR="001D136A" w:rsidRPr="00BB363F">
              <w:rPr>
                <w:rFonts w:ascii="Times New Roman" w:eastAsia="Times New Roman" w:hAnsi="Times New Roman" w:cs="Times New Roman"/>
                <w:sz w:val="20"/>
                <w:szCs w:val="20"/>
                <w:lang w:eastAsia="pl-PL"/>
              </w:rPr>
              <w:t>systemów jedynie w sytuacji, gdy przepis to jasno przewiduje, zaś dostęp ten będzie realizowany w trybie przewidziany</w:t>
            </w:r>
            <w:r w:rsidR="005D5F08" w:rsidRPr="00BB363F">
              <w:rPr>
                <w:rFonts w:ascii="Times New Roman" w:eastAsia="Times New Roman" w:hAnsi="Times New Roman" w:cs="Times New Roman"/>
                <w:sz w:val="20"/>
                <w:szCs w:val="20"/>
                <w:lang w:eastAsia="pl-PL"/>
              </w:rPr>
              <w:t>m</w:t>
            </w:r>
            <w:r w:rsidR="001D136A" w:rsidRPr="00BB363F">
              <w:rPr>
                <w:rFonts w:ascii="Times New Roman" w:eastAsia="Times New Roman" w:hAnsi="Times New Roman" w:cs="Times New Roman"/>
                <w:sz w:val="20"/>
                <w:szCs w:val="20"/>
                <w:lang w:eastAsia="pl-PL"/>
              </w:rPr>
              <w:t xml:space="preserve"> w odpowiednich przepisach</w:t>
            </w:r>
            <w:r w:rsidR="00024ADB" w:rsidRPr="00BB363F">
              <w:rPr>
                <w:rFonts w:ascii="Times New Roman" w:eastAsia="Times New Roman" w:hAnsi="Times New Roman" w:cs="Times New Roman"/>
                <w:sz w:val="20"/>
                <w:szCs w:val="20"/>
                <w:lang w:eastAsia="pl-PL"/>
              </w:rPr>
              <w:t>, które regulują funkcjonowanie tych</w:t>
            </w:r>
            <w:r w:rsidR="00AA318F" w:rsidRPr="00BB363F">
              <w:rPr>
                <w:rFonts w:ascii="Times New Roman" w:eastAsia="Times New Roman" w:hAnsi="Times New Roman" w:cs="Times New Roman"/>
                <w:sz w:val="20"/>
                <w:szCs w:val="20"/>
                <w:lang w:eastAsia="pl-PL"/>
              </w:rPr>
              <w:t xml:space="preserve"> </w:t>
            </w:r>
            <w:r w:rsidR="00024ADB" w:rsidRPr="00BB363F">
              <w:rPr>
                <w:rFonts w:ascii="Times New Roman" w:eastAsia="Times New Roman" w:hAnsi="Times New Roman" w:cs="Times New Roman"/>
                <w:sz w:val="20"/>
                <w:szCs w:val="20"/>
                <w:lang w:eastAsia="pl-PL"/>
              </w:rPr>
              <w:t>rejestrów/</w:t>
            </w:r>
            <w:r w:rsidR="00AA318F" w:rsidRPr="00BB363F">
              <w:rPr>
                <w:rFonts w:ascii="Times New Roman" w:eastAsia="Times New Roman" w:hAnsi="Times New Roman" w:cs="Times New Roman"/>
                <w:sz w:val="20"/>
                <w:szCs w:val="20"/>
                <w:lang w:eastAsia="pl-PL"/>
              </w:rPr>
              <w:t>baz/</w:t>
            </w:r>
            <w:r w:rsidR="00024ADB" w:rsidRPr="00BB363F">
              <w:rPr>
                <w:rFonts w:ascii="Times New Roman" w:eastAsia="Times New Roman" w:hAnsi="Times New Roman" w:cs="Times New Roman"/>
                <w:sz w:val="20"/>
                <w:szCs w:val="20"/>
                <w:lang w:eastAsia="pl-PL"/>
              </w:rPr>
              <w:t xml:space="preserve">systemów. </w:t>
            </w:r>
            <w:r w:rsidRPr="00BB363F">
              <w:rPr>
                <w:rFonts w:ascii="Times New Roman" w:eastAsia="Times New Roman" w:hAnsi="Times New Roman" w:cs="Times New Roman"/>
                <w:sz w:val="20"/>
                <w:szCs w:val="20"/>
                <w:lang w:eastAsia="pl-PL"/>
              </w:rPr>
              <w:t>Przepisom dającym sądom prawo dostępu do stosownych</w:t>
            </w:r>
            <w:r w:rsidR="00BB363F">
              <w:rPr>
                <w:rFonts w:ascii="Times New Roman" w:eastAsia="Times New Roman" w:hAnsi="Times New Roman" w:cs="Times New Roman"/>
                <w:sz w:val="20"/>
                <w:szCs w:val="20"/>
                <w:lang w:eastAsia="pl-PL"/>
              </w:rPr>
              <w:t xml:space="preserve"> </w:t>
            </w:r>
            <w:r w:rsidRPr="00BB363F">
              <w:rPr>
                <w:rFonts w:ascii="Times New Roman" w:eastAsia="Times New Roman" w:hAnsi="Times New Roman" w:cs="Times New Roman"/>
                <w:sz w:val="20"/>
                <w:szCs w:val="20"/>
                <w:lang w:eastAsia="pl-PL"/>
              </w:rPr>
              <w:t>rejestrów/</w:t>
            </w:r>
            <w:r w:rsidR="00AA318F" w:rsidRPr="00BB363F">
              <w:rPr>
                <w:rFonts w:ascii="Times New Roman" w:eastAsia="Times New Roman" w:hAnsi="Times New Roman" w:cs="Times New Roman"/>
                <w:sz w:val="20"/>
                <w:szCs w:val="20"/>
                <w:lang w:eastAsia="pl-PL"/>
              </w:rPr>
              <w:t>baz/</w:t>
            </w:r>
            <w:r w:rsidRPr="00BB363F">
              <w:rPr>
                <w:rFonts w:ascii="Times New Roman" w:eastAsia="Times New Roman" w:hAnsi="Times New Roman" w:cs="Times New Roman"/>
                <w:sz w:val="20"/>
                <w:szCs w:val="20"/>
                <w:lang w:eastAsia="pl-PL"/>
              </w:rPr>
              <w:t>systemów</w:t>
            </w:r>
            <w:r w:rsidR="00BB363F">
              <w:rPr>
                <w:rFonts w:ascii="Times New Roman" w:eastAsia="Times New Roman" w:hAnsi="Times New Roman" w:cs="Times New Roman"/>
                <w:sz w:val="20"/>
                <w:szCs w:val="20"/>
                <w:lang w:eastAsia="pl-PL"/>
              </w:rPr>
              <w:t xml:space="preserve"> </w:t>
            </w:r>
            <w:r w:rsidR="00AA318F" w:rsidRPr="00BB363F">
              <w:rPr>
                <w:rFonts w:ascii="Times New Roman" w:eastAsia="Times New Roman" w:hAnsi="Times New Roman" w:cs="Times New Roman"/>
                <w:sz w:val="20"/>
                <w:szCs w:val="20"/>
                <w:lang w:eastAsia="pl-PL"/>
              </w:rPr>
              <w:t xml:space="preserve">odpowiadają stosowne przepisy, które wskazują okoliczności, w których sądy są </w:t>
            </w:r>
            <w:r w:rsidR="00B96435" w:rsidRPr="00BB363F">
              <w:rPr>
                <w:rFonts w:ascii="Times New Roman" w:eastAsia="Times New Roman" w:hAnsi="Times New Roman" w:cs="Times New Roman"/>
                <w:sz w:val="20"/>
                <w:szCs w:val="20"/>
                <w:lang w:eastAsia="pl-PL"/>
              </w:rPr>
              <w:t>uprawnione do</w:t>
            </w:r>
            <w:r w:rsidRPr="00BB363F">
              <w:rPr>
                <w:rFonts w:ascii="Times New Roman" w:eastAsia="Times New Roman" w:hAnsi="Times New Roman" w:cs="Times New Roman"/>
                <w:sz w:val="20"/>
                <w:szCs w:val="20"/>
                <w:lang w:eastAsia="pl-PL"/>
              </w:rPr>
              <w:t xml:space="preserve"> </w:t>
            </w:r>
            <w:r w:rsidR="00024ADB" w:rsidRPr="00BB363F">
              <w:rPr>
                <w:rFonts w:ascii="Times New Roman" w:eastAsia="Times New Roman" w:hAnsi="Times New Roman" w:cs="Times New Roman"/>
                <w:sz w:val="20"/>
                <w:szCs w:val="20"/>
                <w:lang w:eastAsia="pl-PL"/>
              </w:rPr>
              <w:t xml:space="preserve">sięgania do informacji zawartych w </w:t>
            </w:r>
            <w:r w:rsidR="00AA318F" w:rsidRPr="00BB363F">
              <w:rPr>
                <w:rFonts w:ascii="Times New Roman" w:eastAsia="Times New Roman" w:hAnsi="Times New Roman" w:cs="Times New Roman"/>
                <w:sz w:val="20"/>
                <w:szCs w:val="20"/>
                <w:lang w:eastAsia="pl-PL"/>
              </w:rPr>
              <w:t xml:space="preserve">tych </w:t>
            </w:r>
            <w:r w:rsidR="00024ADB" w:rsidRPr="00BB363F">
              <w:rPr>
                <w:rFonts w:ascii="Times New Roman" w:eastAsia="Times New Roman" w:hAnsi="Times New Roman" w:cs="Times New Roman"/>
                <w:sz w:val="20"/>
                <w:szCs w:val="20"/>
                <w:lang w:eastAsia="pl-PL"/>
              </w:rPr>
              <w:t>rejestr</w:t>
            </w:r>
            <w:r w:rsidR="00AA318F" w:rsidRPr="00BB363F">
              <w:rPr>
                <w:rFonts w:ascii="Times New Roman" w:eastAsia="Times New Roman" w:hAnsi="Times New Roman" w:cs="Times New Roman"/>
                <w:sz w:val="20"/>
                <w:szCs w:val="20"/>
                <w:lang w:eastAsia="pl-PL"/>
              </w:rPr>
              <w:t>ach</w:t>
            </w:r>
            <w:r w:rsidR="00024ADB" w:rsidRPr="00BB363F">
              <w:rPr>
                <w:rFonts w:ascii="Times New Roman" w:eastAsia="Times New Roman" w:hAnsi="Times New Roman" w:cs="Times New Roman"/>
                <w:sz w:val="20"/>
                <w:szCs w:val="20"/>
                <w:lang w:eastAsia="pl-PL"/>
              </w:rPr>
              <w:t>/</w:t>
            </w:r>
            <w:r w:rsidR="00AA318F" w:rsidRPr="00BB363F">
              <w:rPr>
                <w:rFonts w:ascii="Times New Roman" w:eastAsia="Times New Roman" w:hAnsi="Times New Roman" w:cs="Times New Roman"/>
                <w:sz w:val="20"/>
                <w:szCs w:val="20"/>
                <w:lang w:eastAsia="pl-PL"/>
              </w:rPr>
              <w:t>bazach/</w:t>
            </w:r>
            <w:r w:rsidR="00024ADB" w:rsidRPr="00BB363F">
              <w:rPr>
                <w:rFonts w:ascii="Times New Roman" w:eastAsia="Times New Roman" w:hAnsi="Times New Roman" w:cs="Times New Roman"/>
                <w:sz w:val="20"/>
                <w:szCs w:val="20"/>
                <w:lang w:eastAsia="pl-PL"/>
              </w:rPr>
              <w:t>system</w:t>
            </w:r>
            <w:r w:rsidR="00AA318F" w:rsidRPr="00BB363F">
              <w:rPr>
                <w:rFonts w:ascii="Times New Roman" w:eastAsia="Times New Roman" w:hAnsi="Times New Roman" w:cs="Times New Roman"/>
                <w:sz w:val="20"/>
                <w:szCs w:val="20"/>
                <w:lang w:eastAsia="pl-PL"/>
              </w:rPr>
              <w:t xml:space="preserve">ach. </w:t>
            </w:r>
          </w:p>
          <w:p w14:paraId="3599C549" w14:textId="77777777" w:rsidR="00640785" w:rsidRDefault="00AA318F" w:rsidP="00BB363F">
            <w:pPr>
              <w:jc w:val="both"/>
              <w:rPr>
                <w:rFonts w:ascii="Times New Roman" w:eastAsia="Times New Roman" w:hAnsi="Times New Roman" w:cs="Times New Roman"/>
                <w:sz w:val="20"/>
                <w:szCs w:val="20"/>
                <w:lang w:eastAsia="pl-PL"/>
              </w:rPr>
            </w:pPr>
            <w:r w:rsidRPr="00BB363F">
              <w:rPr>
                <w:rFonts w:ascii="Times New Roman" w:eastAsia="Times New Roman" w:hAnsi="Times New Roman" w:cs="Times New Roman"/>
                <w:sz w:val="20"/>
                <w:szCs w:val="20"/>
                <w:lang w:eastAsia="pl-PL"/>
              </w:rPr>
              <w:t>P</w:t>
            </w:r>
            <w:r w:rsidR="0040319B" w:rsidRPr="00BB363F">
              <w:rPr>
                <w:rFonts w:ascii="Times New Roman" w:eastAsia="Times New Roman" w:hAnsi="Times New Roman" w:cs="Times New Roman"/>
                <w:sz w:val="20"/>
                <w:szCs w:val="20"/>
                <w:lang w:eastAsia="pl-PL"/>
              </w:rPr>
              <w:t>rojekt</w:t>
            </w:r>
            <w:r w:rsidRPr="00BB363F">
              <w:rPr>
                <w:rFonts w:ascii="Times New Roman" w:eastAsia="Times New Roman" w:hAnsi="Times New Roman" w:cs="Times New Roman"/>
                <w:sz w:val="20"/>
                <w:szCs w:val="20"/>
                <w:lang w:eastAsia="pl-PL"/>
              </w:rPr>
              <w:t xml:space="preserve"> </w:t>
            </w:r>
            <w:r w:rsidR="00394115" w:rsidRPr="00BB363F">
              <w:rPr>
                <w:rFonts w:ascii="Times New Roman" w:eastAsia="Times New Roman" w:hAnsi="Times New Roman" w:cs="Times New Roman"/>
                <w:sz w:val="20"/>
                <w:szCs w:val="20"/>
                <w:lang w:eastAsia="pl-PL"/>
              </w:rPr>
              <w:t xml:space="preserve">w art. 3 pkt </w:t>
            </w:r>
            <w:r w:rsidR="00640785">
              <w:rPr>
                <w:rFonts w:ascii="Times New Roman" w:eastAsia="Times New Roman" w:hAnsi="Times New Roman" w:cs="Times New Roman"/>
                <w:sz w:val="20"/>
                <w:szCs w:val="20"/>
                <w:lang w:eastAsia="pl-PL"/>
              </w:rPr>
              <w:t>1</w:t>
            </w:r>
            <w:r w:rsidR="00394115" w:rsidRPr="00BB363F">
              <w:rPr>
                <w:rFonts w:ascii="Times New Roman" w:eastAsia="Times New Roman" w:hAnsi="Times New Roman" w:cs="Times New Roman"/>
                <w:sz w:val="20"/>
                <w:szCs w:val="20"/>
                <w:lang w:eastAsia="pl-PL"/>
              </w:rPr>
              <w:t xml:space="preserve"> </w:t>
            </w:r>
            <w:r w:rsidRPr="00BB363F">
              <w:rPr>
                <w:rFonts w:ascii="Times New Roman" w:eastAsia="Times New Roman" w:hAnsi="Times New Roman" w:cs="Times New Roman"/>
                <w:sz w:val="20"/>
                <w:szCs w:val="20"/>
                <w:lang w:eastAsia="pl-PL"/>
              </w:rPr>
              <w:t>przewiduje</w:t>
            </w:r>
            <w:r w:rsidR="00394115" w:rsidRPr="00BB363F">
              <w:rPr>
                <w:rFonts w:ascii="Times New Roman" w:eastAsia="Times New Roman" w:hAnsi="Times New Roman" w:cs="Times New Roman"/>
                <w:sz w:val="20"/>
                <w:szCs w:val="20"/>
                <w:lang w:eastAsia="pl-PL"/>
              </w:rPr>
              <w:t xml:space="preserve"> dodanie po art. 515 przepisu art. 515</w:t>
            </w:r>
            <w:r w:rsidR="00394115" w:rsidRPr="00BB363F">
              <w:rPr>
                <w:rFonts w:ascii="Times New Roman" w:eastAsia="Times New Roman" w:hAnsi="Times New Roman" w:cs="Times New Roman"/>
                <w:sz w:val="20"/>
                <w:szCs w:val="20"/>
                <w:vertAlign w:val="superscript"/>
                <w:lang w:eastAsia="pl-PL"/>
              </w:rPr>
              <w:t>1</w:t>
            </w:r>
            <w:r w:rsidR="00394115" w:rsidRPr="00BB363F">
              <w:rPr>
                <w:rFonts w:ascii="Times New Roman" w:eastAsia="Times New Roman" w:hAnsi="Times New Roman" w:cs="Times New Roman"/>
                <w:sz w:val="20"/>
                <w:szCs w:val="20"/>
                <w:lang w:eastAsia="pl-PL"/>
              </w:rPr>
              <w:t xml:space="preserve"> w </w:t>
            </w:r>
            <w:r w:rsidR="00640785">
              <w:rPr>
                <w:rFonts w:ascii="Times New Roman" w:eastAsia="Times New Roman" w:hAnsi="Times New Roman" w:cs="Times New Roman"/>
                <w:sz w:val="20"/>
                <w:szCs w:val="20"/>
                <w:lang w:eastAsia="pl-PL"/>
              </w:rPr>
              <w:t xml:space="preserve">następującym </w:t>
            </w:r>
            <w:r w:rsidR="00394115" w:rsidRPr="00BB363F">
              <w:rPr>
                <w:rFonts w:ascii="Times New Roman" w:eastAsia="Times New Roman" w:hAnsi="Times New Roman" w:cs="Times New Roman"/>
                <w:sz w:val="20"/>
                <w:szCs w:val="20"/>
                <w:lang w:eastAsia="pl-PL"/>
              </w:rPr>
              <w:t xml:space="preserve">brzmieniu: </w:t>
            </w:r>
          </w:p>
          <w:p w14:paraId="67540CD1" w14:textId="77777777" w:rsidR="00FB07E7" w:rsidRDefault="00394115" w:rsidP="00BB363F">
            <w:pPr>
              <w:jc w:val="both"/>
              <w:rPr>
                <w:rFonts w:ascii="Times New Roman" w:eastAsia="Times New Roman" w:hAnsi="Times New Roman" w:cs="Times New Roman"/>
                <w:sz w:val="20"/>
                <w:szCs w:val="20"/>
                <w:lang w:eastAsia="pl-PL"/>
              </w:rPr>
            </w:pPr>
            <w:r w:rsidRPr="00BB363F">
              <w:rPr>
                <w:rFonts w:ascii="Times New Roman" w:eastAsia="Times New Roman" w:hAnsi="Times New Roman" w:cs="Times New Roman"/>
                <w:sz w:val="20"/>
                <w:szCs w:val="20"/>
                <w:lang w:eastAsia="pl-PL"/>
              </w:rPr>
              <w:t>„Art. 515</w:t>
            </w:r>
            <w:r w:rsidRPr="00BB363F">
              <w:rPr>
                <w:rFonts w:ascii="Times New Roman" w:eastAsia="Times New Roman" w:hAnsi="Times New Roman" w:cs="Times New Roman"/>
                <w:sz w:val="20"/>
                <w:szCs w:val="20"/>
                <w:vertAlign w:val="superscript"/>
                <w:lang w:eastAsia="pl-PL"/>
              </w:rPr>
              <w:t>1</w:t>
            </w:r>
            <w:r w:rsidRPr="00BB363F">
              <w:rPr>
                <w:rFonts w:ascii="Times New Roman" w:eastAsia="Times New Roman" w:hAnsi="Times New Roman" w:cs="Times New Roman"/>
                <w:sz w:val="20"/>
                <w:szCs w:val="20"/>
                <w:lang w:eastAsia="pl-PL"/>
              </w:rPr>
              <w:t xml:space="preserve">. </w:t>
            </w:r>
            <w:r w:rsidRPr="00FB07E7">
              <w:rPr>
                <w:rFonts w:ascii="Times New Roman" w:eastAsia="Times New Roman" w:hAnsi="Times New Roman" w:cs="Times New Roman"/>
                <w:i/>
                <w:iCs/>
                <w:sz w:val="20"/>
                <w:szCs w:val="20"/>
                <w:lang w:eastAsia="pl-PL"/>
              </w:rPr>
              <w:t>Jeżeli ustawa nakłada na sąd obowiązek ustalania faktów lub uczestnik postępowania uprawdopodobni, że uzyskanie istotnych informacji jest nadmiernie utrudnione lub powodowałoby nieuzasadnioną zwłokę, sąd może je pozyskać</w:t>
            </w:r>
            <w:r w:rsidR="00640785" w:rsidRPr="00FB07E7">
              <w:rPr>
                <w:rFonts w:ascii="Times New Roman" w:eastAsia="Times New Roman" w:hAnsi="Times New Roman" w:cs="Times New Roman"/>
                <w:i/>
                <w:iCs/>
                <w:sz w:val="20"/>
                <w:szCs w:val="20"/>
                <w:lang w:eastAsia="pl-PL"/>
              </w:rPr>
              <w:t xml:space="preserve"> </w:t>
            </w:r>
            <w:r w:rsidRPr="00FB07E7">
              <w:rPr>
                <w:rFonts w:ascii="Times New Roman" w:eastAsia="Times New Roman" w:hAnsi="Times New Roman" w:cs="Times New Roman"/>
                <w:i/>
                <w:iCs/>
                <w:sz w:val="20"/>
                <w:szCs w:val="20"/>
                <w:lang w:eastAsia="pl-PL"/>
              </w:rPr>
              <w:t xml:space="preserve">w szczególności </w:t>
            </w:r>
            <w:r w:rsidR="00640785" w:rsidRPr="00FB07E7">
              <w:rPr>
                <w:rFonts w:ascii="Times New Roman" w:eastAsia="Times New Roman" w:hAnsi="Times New Roman" w:cs="Times New Roman"/>
                <w:i/>
                <w:iCs/>
                <w:sz w:val="20"/>
                <w:szCs w:val="20"/>
                <w:lang w:eastAsia="pl-PL"/>
              </w:rPr>
              <w:t>w drodze elektronicznej z dostępnych rejestrów publicznych</w:t>
            </w:r>
            <w:r w:rsidRPr="00BB363F">
              <w:rPr>
                <w:rFonts w:ascii="Times New Roman" w:eastAsia="Times New Roman" w:hAnsi="Times New Roman" w:cs="Times New Roman"/>
                <w:sz w:val="20"/>
                <w:szCs w:val="20"/>
                <w:lang w:eastAsia="pl-PL"/>
              </w:rPr>
              <w:t xml:space="preserve">.”. </w:t>
            </w:r>
          </w:p>
          <w:p w14:paraId="2FC9C05C" w14:textId="77777777" w:rsidR="00FB07E7" w:rsidRDefault="00394115" w:rsidP="00BB363F">
            <w:pPr>
              <w:jc w:val="both"/>
              <w:rPr>
                <w:rFonts w:ascii="Times New Roman" w:eastAsia="Times New Roman" w:hAnsi="Times New Roman" w:cs="Times New Roman"/>
                <w:sz w:val="20"/>
                <w:szCs w:val="20"/>
                <w:lang w:eastAsia="pl-PL"/>
              </w:rPr>
            </w:pPr>
            <w:r w:rsidRPr="00BB363F">
              <w:rPr>
                <w:rFonts w:ascii="Times New Roman" w:eastAsia="Times New Roman" w:hAnsi="Times New Roman" w:cs="Times New Roman"/>
                <w:sz w:val="20"/>
                <w:szCs w:val="20"/>
                <w:lang w:eastAsia="pl-PL"/>
              </w:rPr>
              <w:t>Podany przepis wskazuje zatem</w:t>
            </w:r>
            <w:r w:rsidR="002A081D" w:rsidRPr="00BB363F">
              <w:rPr>
                <w:rFonts w:ascii="Times New Roman" w:eastAsia="Times New Roman" w:hAnsi="Times New Roman" w:cs="Times New Roman"/>
                <w:sz w:val="20"/>
                <w:szCs w:val="20"/>
                <w:lang w:eastAsia="pl-PL"/>
              </w:rPr>
              <w:t xml:space="preserve"> wyraźnie, że są</w:t>
            </w:r>
            <w:r w:rsidR="00BB363F" w:rsidRPr="00BB363F">
              <w:rPr>
                <w:rFonts w:ascii="Times New Roman" w:eastAsia="Times New Roman" w:hAnsi="Times New Roman" w:cs="Times New Roman"/>
                <w:sz w:val="20"/>
                <w:szCs w:val="20"/>
                <w:lang w:eastAsia="pl-PL"/>
              </w:rPr>
              <w:t>d</w:t>
            </w:r>
            <w:r w:rsidR="002A081D" w:rsidRPr="00BB363F">
              <w:rPr>
                <w:rFonts w:ascii="Times New Roman" w:eastAsia="Times New Roman" w:hAnsi="Times New Roman" w:cs="Times New Roman"/>
                <w:sz w:val="20"/>
                <w:szCs w:val="20"/>
                <w:lang w:eastAsia="pl-PL"/>
              </w:rPr>
              <w:t xml:space="preserve"> może pozyskać dane z </w:t>
            </w:r>
            <w:r w:rsidR="00FB07E7">
              <w:rPr>
                <w:rFonts w:ascii="Times New Roman" w:eastAsia="Times New Roman" w:hAnsi="Times New Roman" w:cs="Times New Roman"/>
                <w:sz w:val="20"/>
                <w:szCs w:val="20"/>
                <w:lang w:eastAsia="pl-PL"/>
              </w:rPr>
              <w:t>dostępnych rejestrów publicznych</w:t>
            </w:r>
            <w:r w:rsidR="002A081D" w:rsidRPr="00BB363F">
              <w:rPr>
                <w:rFonts w:ascii="Times New Roman" w:eastAsia="Times New Roman" w:hAnsi="Times New Roman" w:cs="Times New Roman"/>
                <w:sz w:val="20"/>
                <w:szCs w:val="20"/>
                <w:lang w:eastAsia="pl-PL"/>
              </w:rPr>
              <w:t xml:space="preserve"> wyjątkowo, a zatem jedynie wówczas, gdy</w:t>
            </w:r>
            <w:r w:rsidR="00FB07E7">
              <w:rPr>
                <w:rFonts w:ascii="Times New Roman" w:eastAsia="Times New Roman" w:hAnsi="Times New Roman" w:cs="Times New Roman"/>
                <w:sz w:val="20"/>
                <w:szCs w:val="20"/>
                <w:lang w:eastAsia="pl-PL"/>
              </w:rPr>
              <w:t>:</w:t>
            </w:r>
            <w:r w:rsidR="002A081D" w:rsidRPr="00BB363F">
              <w:rPr>
                <w:rFonts w:ascii="Times New Roman" w:eastAsia="Times New Roman" w:hAnsi="Times New Roman" w:cs="Times New Roman"/>
                <w:sz w:val="20"/>
                <w:szCs w:val="20"/>
                <w:lang w:eastAsia="pl-PL"/>
              </w:rPr>
              <w:t xml:space="preserve"> </w:t>
            </w:r>
          </w:p>
          <w:p w14:paraId="1C6EFD6F" w14:textId="77777777" w:rsidR="00FB07E7" w:rsidRDefault="002A081D" w:rsidP="00BB363F">
            <w:pPr>
              <w:jc w:val="both"/>
              <w:rPr>
                <w:rFonts w:ascii="Times New Roman" w:eastAsia="Times New Roman" w:hAnsi="Times New Roman" w:cs="Times New Roman"/>
                <w:sz w:val="20"/>
                <w:szCs w:val="20"/>
                <w:lang w:eastAsia="pl-PL"/>
              </w:rPr>
            </w:pPr>
            <w:r w:rsidRPr="00BB363F">
              <w:rPr>
                <w:rFonts w:ascii="Times New Roman" w:eastAsia="Times New Roman" w:hAnsi="Times New Roman" w:cs="Times New Roman"/>
                <w:sz w:val="20"/>
                <w:szCs w:val="20"/>
                <w:lang w:eastAsia="pl-PL"/>
              </w:rPr>
              <w:lastRenderedPageBreak/>
              <w:t>a) ustawa nakłada na sąd obowiązek ustalenia faktów</w:t>
            </w:r>
            <w:r w:rsidR="00C21C45" w:rsidRPr="00BB363F">
              <w:rPr>
                <w:rFonts w:ascii="Times New Roman" w:eastAsia="Times New Roman" w:hAnsi="Times New Roman" w:cs="Times New Roman"/>
                <w:sz w:val="20"/>
                <w:szCs w:val="20"/>
                <w:lang w:eastAsia="pl-PL"/>
              </w:rPr>
              <w:t xml:space="preserve"> lub </w:t>
            </w:r>
          </w:p>
          <w:p w14:paraId="33702B9D" w14:textId="3E986F38" w:rsidR="00394115" w:rsidRDefault="00C21C45" w:rsidP="00BB363F">
            <w:pPr>
              <w:jc w:val="both"/>
              <w:rPr>
                <w:rFonts w:ascii="Times New Roman" w:eastAsia="Times New Roman" w:hAnsi="Times New Roman" w:cs="Times New Roman"/>
                <w:sz w:val="20"/>
                <w:szCs w:val="20"/>
                <w:lang w:eastAsia="pl-PL"/>
              </w:rPr>
            </w:pPr>
            <w:r w:rsidRPr="00BB363F">
              <w:rPr>
                <w:rFonts w:ascii="Times New Roman" w:eastAsia="Times New Roman" w:hAnsi="Times New Roman" w:cs="Times New Roman"/>
                <w:sz w:val="20"/>
                <w:szCs w:val="20"/>
                <w:lang w:eastAsia="pl-PL"/>
              </w:rPr>
              <w:t xml:space="preserve">b) uczestnik postępowania uprawdopodobni, że uzyskanie istotnych informacji jest nadmiernie utrudnione lub powodowałoby nieuzasadnioną zwłokę. </w:t>
            </w:r>
          </w:p>
          <w:p w14:paraId="1F74310C" w14:textId="61766300" w:rsidR="005D29F2" w:rsidRDefault="00546A59" w:rsidP="00C531C2">
            <w:pPr>
              <w:jc w:val="both"/>
              <w:rPr>
                <w:rStyle w:val="articletitle"/>
                <w:rFonts w:ascii="Times New Roman" w:hAnsi="Times New Roman" w:cs="Times New Roman"/>
                <w:sz w:val="20"/>
                <w:szCs w:val="20"/>
              </w:rPr>
            </w:pPr>
            <w:r w:rsidRPr="000548CD">
              <w:rPr>
                <w:rStyle w:val="articletitle"/>
                <w:rFonts w:ascii="Times New Roman" w:hAnsi="Times New Roman" w:cs="Times New Roman"/>
                <w:sz w:val="20"/>
                <w:szCs w:val="20"/>
              </w:rPr>
              <w:t xml:space="preserve">Należy </w:t>
            </w:r>
            <w:r w:rsidR="000548CD">
              <w:rPr>
                <w:rStyle w:val="articletitle"/>
                <w:rFonts w:ascii="Times New Roman" w:hAnsi="Times New Roman" w:cs="Times New Roman"/>
                <w:sz w:val="20"/>
                <w:szCs w:val="20"/>
              </w:rPr>
              <w:t>wskazać, że w sądach funkcjonują stosowne procedury, mające na celu nadzór nad przetwarzaniem danych osobowych, których administratorami są sądy</w:t>
            </w:r>
            <w:r w:rsidR="00E232F1">
              <w:rPr>
                <w:rStyle w:val="articletitle"/>
                <w:rFonts w:ascii="Times New Roman" w:hAnsi="Times New Roman" w:cs="Times New Roman"/>
                <w:sz w:val="20"/>
                <w:szCs w:val="20"/>
              </w:rPr>
              <w:t>. Regulacje w tym zakresie przewiduje ustawa Prawo o ustroju sądów powszechnych</w:t>
            </w:r>
            <w:r w:rsidR="005D29F2">
              <w:rPr>
                <w:rStyle w:val="articletitle"/>
                <w:rFonts w:ascii="Times New Roman" w:hAnsi="Times New Roman" w:cs="Times New Roman"/>
                <w:sz w:val="20"/>
                <w:szCs w:val="20"/>
              </w:rPr>
              <w:t xml:space="preserve"> (</w:t>
            </w:r>
            <w:r w:rsidR="003573B1">
              <w:rPr>
                <w:rStyle w:val="articletitle"/>
                <w:rFonts w:ascii="Times New Roman" w:hAnsi="Times New Roman" w:cs="Times New Roman"/>
                <w:sz w:val="20"/>
                <w:szCs w:val="20"/>
              </w:rPr>
              <w:t xml:space="preserve">dział </w:t>
            </w:r>
            <w:proofErr w:type="spellStart"/>
            <w:r w:rsidR="003573B1">
              <w:rPr>
                <w:rStyle w:val="articletitle"/>
                <w:rFonts w:ascii="Times New Roman" w:hAnsi="Times New Roman" w:cs="Times New Roman"/>
                <w:sz w:val="20"/>
                <w:szCs w:val="20"/>
              </w:rPr>
              <w:t>IVa</w:t>
            </w:r>
            <w:proofErr w:type="spellEnd"/>
            <w:r w:rsidR="003573B1">
              <w:rPr>
                <w:rStyle w:val="articletitle"/>
                <w:rFonts w:ascii="Times New Roman" w:hAnsi="Times New Roman" w:cs="Times New Roman"/>
                <w:sz w:val="20"/>
                <w:szCs w:val="20"/>
              </w:rPr>
              <w:t xml:space="preserve"> ustawy, </w:t>
            </w:r>
            <w:r w:rsidR="005D29F2">
              <w:rPr>
                <w:rStyle w:val="articletitle"/>
                <w:rFonts w:ascii="Times New Roman" w:hAnsi="Times New Roman" w:cs="Times New Roman"/>
                <w:sz w:val="20"/>
                <w:szCs w:val="20"/>
              </w:rPr>
              <w:t xml:space="preserve">w szczególności art. 175db i art. </w:t>
            </w:r>
            <w:r w:rsidR="003573B1">
              <w:rPr>
                <w:rStyle w:val="articletitle"/>
                <w:rFonts w:ascii="Times New Roman" w:hAnsi="Times New Roman" w:cs="Times New Roman"/>
                <w:sz w:val="20"/>
                <w:szCs w:val="20"/>
              </w:rPr>
              <w:t>175dd).</w:t>
            </w:r>
          </w:p>
          <w:p w14:paraId="694E4A8D" w14:textId="0B98014B" w:rsidR="00546A59" w:rsidRPr="00546A59" w:rsidRDefault="00546A59" w:rsidP="003573B1">
            <w:pPr>
              <w:jc w:val="both"/>
              <w:rPr>
                <w:rFonts w:ascii="Times New Roman" w:eastAsia="Times New Roman" w:hAnsi="Times New Roman" w:cs="Times New Roman"/>
                <w:sz w:val="20"/>
                <w:szCs w:val="20"/>
                <w:lang w:eastAsia="pl-PL"/>
              </w:rPr>
            </w:pPr>
            <w:r w:rsidRPr="000548CD">
              <w:rPr>
                <w:rStyle w:val="articletitle"/>
                <w:rFonts w:ascii="Times New Roman" w:hAnsi="Times New Roman" w:cs="Times New Roman"/>
                <w:sz w:val="20"/>
                <w:szCs w:val="20"/>
              </w:rPr>
              <w:t xml:space="preserve"> </w:t>
            </w:r>
          </w:p>
          <w:p w14:paraId="654711B2" w14:textId="77777777" w:rsidR="00546A59" w:rsidRPr="00024ADB" w:rsidRDefault="00546A59" w:rsidP="00C531C2">
            <w:pPr>
              <w:jc w:val="both"/>
              <w:rPr>
                <w:rFonts w:ascii="Times New Roman" w:eastAsia="Times New Roman" w:hAnsi="Times New Roman" w:cs="Times New Roman"/>
                <w:b/>
                <w:bCs/>
                <w:sz w:val="20"/>
                <w:szCs w:val="20"/>
                <w:lang w:eastAsia="pl-PL"/>
              </w:rPr>
            </w:pPr>
          </w:p>
          <w:p w14:paraId="77314135" w14:textId="77777777" w:rsidR="00572BE2" w:rsidRPr="00D345DF" w:rsidRDefault="00572BE2" w:rsidP="00C41BB0">
            <w:pPr>
              <w:spacing w:before="120"/>
              <w:jc w:val="center"/>
              <w:rPr>
                <w:rFonts w:ascii="Times New Roman" w:hAnsi="Times New Roman" w:cs="Times New Roman"/>
                <w:color w:val="365F91" w:themeColor="accent1" w:themeShade="BF"/>
                <w:sz w:val="20"/>
              </w:rPr>
            </w:pPr>
          </w:p>
        </w:tc>
      </w:tr>
      <w:tr w:rsidR="00C41BB0" w14:paraId="5A2AED4D" w14:textId="77777777" w:rsidTr="00C51680">
        <w:trPr>
          <w:jc w:val="center"/>
        </w:trPr>
        <w:tc>
          <w:tcPr>
            <w:tcW w:w="561" w:type="dxa"/>
          </w:tcPr>
          <w:p w14:paraId="12824B63" w14:textId="15B784E0" w:rsidR="00C41BB0" w:rsidRPr="00B919AF" w:rsidRDefault="00C87548" w:rsidP="00C41BB0">
            <w:pPr>
              <w:spacing w:before="120"/>
              <w:ind w:right="-534"/>
              <w:rPr>
                <w:rFonts w:ascii="Times New Roman" w:hAnsi="Times New Roman" w:cs="Times New Roman"/>
                <w:b/>
                <w:sz w:val="20"/>
              </w:rPr>
            </w:pPr>
            <w:r>
              <w:rPr>
                <w:rFonts w:ascii="Times New Roman" w:hAnsi="Times New Roman" w:cs="Times New Roman"/>
                <w:b/>
                <w:sz w:val="20"/>
              </w:rPr>
              <w:lastRenderedPageBreak/>
              <w:t>6</w:t>
            </w:r>
            <w:r w:rsidR="00C41BB0">
              <w:rPr>
                <w:rFonts w:ascii="Times New Roman" w:hAnsi="Times New Roman" w:cs="Times New Roman"/>
                <w:b/>
                <w:sz w:val="20"/>
              </w:rPr>
              <w:t>.</w:t>
            </w:r>
          </w:p>
        </w:tc>
        <w:tc>
          <w:tcPr>
            <w:tcW w:w="1841" w:type="dxa"/>
            <w:vAlign w:val="center"/>
          </w:tcPr>
          <w:p w14:paraId="2B92E1B1" w14:textId="48BF878D" w:rsidR="00C41BB0" w:rsidRDefault="00C41BB0" w:rsidP="00C41BB0">
            <w:pPr>
              <w:spacing w:before="120" w:after="120"/>
              <w:jc w:val="center"/>
              <w:rPr>
                <w:rFonts w:ascii="Times New Roman" w:hAnsi="Times New Roman" w:cs="Times New Roman"/>
                <w:sz w:val="20"/>
              </w:rPr>
            </w:pPr>
            <w:r>
              <w:rPr>
                <w:rFonts w:ascii="Times New Roman" w:hAnsi="Times New Roman" w:cs="Times New Roman"/>
                <w:sz w:val="20"/>
              </w:rPr>
              <w:t>GUGiK</w:t>
            </w:r>
          </w:p>
        </w:tc>
        <w:tc>
          <w:tcPr>
            <w:tcW w:w="1883" w:type="dxa"/>
            <w:vAlign w:val="center"/>
          </w:tcPr>
          <w:p w14:paraId="3DEE6EAC" w14:textId="77777777" w:rsidR="00C41BB0" w:rsidRPr="0019403C" w:rsidRDefault="00C41BB0" w:rsidP="00C41BB0">
            <w:pPr>
              <w:rPr>
                <w:rFonts w:ascii="Times New Roman" w:eastAsia="Times New Roman" w:hAnsi="Times New Roman" w:cs="Times New Roman"/>
                <w:sz w:val="18"/>
                <w:szCs w:val="20"/>
                <w:lang w:eastAsia="pl-PL"/>
              </w:rPr>
            </w:pPr>
            <w:r w:rsidRPr="0019403C">
              <w:rPr>
                <w:rFonts w:ascii="Times New Roman" w:hAnsi="Times New Roman" w:cs="Times New Roman"/>
                <w:sz w:val="18"/>
                <w:szCs w:val="20"/>
              </w:rPr>
              <w:t>Art. 4 pkt 1</w:t>
            </w:r>
            <w:r w:rsidRPr="0019403C">
              <w:rPr>
                <w:rFonts w:ascii="Times New Roman" w:eastAsia="Times New Roman" w:hAnsi="Times New Roman" w:cs="Times New Roman"/>
                <w:sz w:val="18"/>
                <w:szCs w:val="20"/>
                <w:lang w:eastAsia="pl-PL"/>
              </w:rPr>
              <w:t xml:space="preserve"> </w:t>
            </w:r>
          </w:p>
          <w:p w14:paraId="7F18A288" w14:textId="77777777" w:rsidR="00C41BB0" w:rsidRPr="0019403C" w:rsidRDefault="00C41BB0" w:rsidP="00C41BB0">
            <w:pPr>
              <w:rPr>
                <w:rFonts w:ascii="Times New Roman" w:eastAsia="Times New Roman" w:hAnsi="Times New Roman" w:cs="Times New Roman"/>
                <w:sz w:val="18"/>
                <w:szCs w:val="20"/>
                <w:lang w:eastAsia="pl-PL"/>
              </w:rPr>
            </w:pPr>
            <w:r w:rsidRPr="0019403C">
              <w:rPr>
                <w:rFonts w:ascii="Times New Roman" w:eastAsia="Times New Roman" w:hAnsi="Times New Roman" w:cs="Times New Roman"/>
                <w:sz w:val="18"/>
                <w:szCs w:val="20"/>
                <w:lang w:eastAsia="pl-PL"/>
              </w:rPr>
              <w:t>W art. 24 w ust. 5 Prawa geodezyjnego i kartograficznego po pkt 2a dodaje się pkt 2b w brzmieniu:</w:t>
            </w:r>
          </w:p>
          <w:p w14:paraId="3CE91D24" w14:textId="2A74D85E" w:rsidR="00C41BB0" w:rsidRPr="0022526C" w:rsidRDefault="00C41BB0" w:rsidP="00C41BB0">
            <w:pPr>
              <w:rPr>
                <w:rFonts w:ascii="Times New Roman" w:eastAsia="Times New Roman" w:hAnsi="Times New Roman" w:cs="Times New Roman"/>
                <w:i/>
                <w:color w:val="0000FF"/>
                <w:sz w:val="18"/>
                <w:szCs w:val="20"/>
                <w:lang w:eastAsia="pl-PL"/>
              </w:rPr>
            </w:pPr>
            <w:r w:rsidRPr="0019403C">
              <w:rPr>
                <w:rFonts w:ascii="Times New Roman" w:eastAsia="Times New Roman" w:hAnsi="Times New Roman" w:cs="Times New Roman"/>
                <w:i/>
                <w:color w:val="0000FF"/>
                <w:sz w:val="18"/>
                <w:szCs w:val="20"/>
                <w:lang w:eastAsia="pl-PL"/>
              </w:rPr>
              <w:t>„2b) sądów na potrzeby prowadzonych postępowań;”.</w:t>
            </w:r>
          </w:p>
        </w:tc>
        <w:tc>
          <w:tcPr>
            <w:tcW w:w="5653" w:type="dxa"/>
            <w:vAlign w:val="center"/>
          </w:tcPr>
          <w:p w14:paraId="31D3AABB" w14:textId="77777777" w:rsidR="00C41BB0" w:rsidRPr="0019403C" w:rsidRDefault="00C41BB0" w:rsidP="00C41BB0">
            <w:pPr>
              <w:jc w:val="both"/>
              <w:rPr>
                <w:rFonts w:ascii="Times New Roman" w:eastAsia="Times New Roman" w:hAnsi="Times New Roman" w:cs="Times New Roman"/>
                <w:sz w:val="20"/>
                <w:lang w:eastAsia="pl-PL"/>
              </w:rPr>
            </w:pPr>
            <w:r w:rsidRPr="0019403C">
              <w:rPr>
                <w:rFonts w:ascii="Times New Roman" w:eastAsia="Times New Roman" w:hAnsi="Times New Roman" w:cs="Times New Roman"/>
                <w:sz w:val="20"/>
                <w:lang w:eastAsia="pl-PL"/>
              </w:rPr>
              <w:t>Proponowana zmiana zmierza w kierunku dodania do ustawy Prawo geodezyjne i kartograficzne kolejnej grupy podmiotów uprzywilejowanych w dostępie do danych w ewidencji gruntów i budynków, ale w żaden sposób nie ułatwia obywatelom dostępu do tego publicznego rejestru.</w:t>
            </w:r>
          </w:p>
          <w:p w14:paraId="2049A1C6" w14:textId="77777777" w:rsidR="00C41BB0" w:rsidRPr="0019403C" w:rsidRDefault="00C41BB0" w:rsidP="00C41BB0">
            <w:pPr>
              <w:jc w:val="both"/>
              <w:rPr>
                <w:rFonts w:ascii="Times New Roman" w:eastAsia="Times New Roman" w:hAnsi="Times New Roman" w:cs="Times New Roman"/>
                <w:sz w:val="20"/>
                <w:lang w:eastAsia="pl-PL"/>
              </w:rPr>
            </w:pPr>
            <w:r w:rsidRPr="0019403C">
              <w:rPr>
                <w:rFonts w:ascii="Times New Roman" w:eastAsia="Times New Roman" w:hAnsi="Times New Roman" w:cs="Times New Roman"/>
                <w:sz w:val="20"/>
                <w:lang w:eastAsia="pl-PL"/>
              </w:rPr>
              <w:t xml:space="preserve">Dodatkowo sądy mają już dostęp do danych ewidencji gruntów i budynków na podstawie art. 24 ust 5 pkt 3 ustawy z dnia 17 maja 1989 r. – </w:t>
            </w:r>
            <w:r w:rsidRPr="0019403C">
              <w:rPr>
                <w:rFonts w:ascii="Times New Roman" w:eastAsia="Times New Roman" w:hAnsi="Times New Roman" w:cs="Times New Roman"/>
                <w:i/>
                <w:sz w:val="20"/>
                <w:lang w:eastAsia="pl-PL"/>
              </w:rPr>
              <w:t>Prawo geodezyjne i kartograficzn</w:t>
            </w:r>
            <w:r w:rsidRPr="0019403C">
              <w:rPr>
                <w:rFonts w:ascii="Times New Roman" w:eastAsia="Times New Roman" w:hAnsi="Times New Roman" w:cs="Times New Roman"/>
                <w:sz w:val="20"/>
                <w:lang w:eastAsia="pl-PL"/>
              </w:rPr>
              <w:t>e (Dz. U. z 2021 r. poz. 1990) i nie ma potrzeby rozszerzenia katalogu podmiotów uprawnionych.</w:t>
            </w:r>
          </w:p>
          <w:p w14:paraId="560FBFC0" w14:textId="43CFFA9A" w:rsidR="00C41BB0" w:rsidRPr="00C14B5D" w:rsidRDefault="00C41BB0" w:rsidP="00C41BB0">
            <w:pPr>
              <w:jc w:val="center"/>
              <w:rPr>
                <w:rFonts w:ascii="Times New Roman" w:eastAsia="Times New Roman" w:hAnsi="Times New Roman" w:cs="Times New Roman"/>
                <w:sz w:val="24"/>
                <w:szCs w:val="24"/>
                <w:lang w:eastAsia="pl-PL"/>
              </w:rPr>
            </w:pPr>
            <w:r w:rsidRPr="0019403C">
              <w:rPr>
                <w:rFonts w:ascii="Times New Roman" w:eastAsia="Times New Roman" w:hAnsi="Times New Roman" w:cs="Times New Roman"/>
                <w:b/>
                <w:sz w:val="20"/>
                <w:lang w:eastAsia="pl-PL"/>
              </w:rPr>
              <w:t>Należy usunąć przepis z projektu ustawy.</w:t>
            </w:r>
          </w:p>
        </w:tc>
        <w:tc>
          <w:tcPr>
            <w:tcW w:w="4056" w:type="dxa"/>
          </w:tcPr>
          <w:p w14:paraId="3030DFF4" w14:textId="77777777" w:rsidR="00C41BB0" w:rsidRDefault="00AC0E42" w:rsidP="00AC0E42">
            <w:pPr>
              <w:spacing w:after="120"/>
              <w:jc w:val="both"/>
              <w:rPr>
                <w:rFonts w:ascii="Times New Roman" w:eastAsia="Times New Roman" w:hAnsi="Times New Roman" w:cs="Times New Roman"/>
                <w:b/>
                <w:bCs/>
                <w:sz w:val="20"/>
                <w:szCs w:val="20"/>
                <w:lang w:eastAsia="pl-PL"/>
              </w:rPr>
            </w:pPr>
            <w:r w:rsidRPr="00AC0E42">
              <w:rPr>
                <w:rFonts w:ascii="Times New Roman" w:eastAsia="Times New Roman" w:hAnsi="Times New Roman" w:cs="Times New Roman"/>
                <w:b/>
                <w:bCs/>
                <w:sz w:val="20"/>
                <w:szCs w:val="20"/>
                <w:lang w:eastAsia="pl-PL"/>
              </w:rPr>
              <w:t>Uwaga nieuwzględniona</w:t>
            </w:r>
          </w:p>
          <w:p w14:paraId="353C0224" w14:textId="0D918066" w:rsidR="00AC0E42" w:rsidRPr="00D345DF" w:rsidRDefault="00D376B1" w:rsidP="00C471DC">
            <w:pPr>
              <w:jc w:val="both"/>
              <w:rPr>
                <w:rFonts w:ascii="Times New Roman" w:hAnsi="Times New Roman" w:cs="Times New Roman"/>
                <w:color w:val="365F91" w:themeColor="accent1" w:themeShade="BF"/>
                <w:sz w:val="20"/>
              </w:rPr>
            </w:pPr>
            <w:r w:rsidRPr="00D376B1">
              <w:rPr>
                <w:rFonts w:ascii="Times New Roman" w:eastAsia="Times New Roman" w:hAnsi="Times New Roman" w:cs="Times New Roman"/>
                <w:sz w:val="20"/>
                <w:szCs w:val="20"/>
                <w:lang w:eastAsia="pl-PL"/>
              </w:rPr>
              <w:t>Z praktyk</w:t>
            </w:r>
            <w:r w:rsidR="00CC65D3">
              <w:rPr>
                <w:rFonts w:ascii="Times New Roman" w:eastAsia="Times New Roman" w:hAnsi="Times New Roman" w:cs="Times New Roman"/>
                <w:sz w:val="20"/>
                <w:szCs w:val="20"/>
                <w:lang w:eastAsia="pl-PL"/>
              </w:rPr>
              <w:t>i sądów wynika</w:t>
            </w:r>
            <w:r w:rsidRPr="00D376B1">
              <w:rPr>
                <w:rFonts w:ascii="Times New Roman" w:eastAsia="Times New Roman" w:hAnsi="Times New Roman" w:cs="Times New Roman"/>
                <w:sz w:val="20"/>
                <w:szCs w:val="20"/>
                <w:lang w:eastAsia="pl-PL"/>
              </w:rPr>
              <w:t xml:space="preserve">, że </w:t>
            </w:r>
            <w:r w:rsidRPr="00FB07E7">
              <w:rPr>
                <w:rFonts w:ascii="Times New Roman" w:eastAsia="Times New Roman" w:hAnsi="Times New Roman" w:cs="Times New Roman"/>
                <w:sz w:val="20"/>
                <w:szCs w:val="20"/>
                <w:u w:val="single"/>
                <w:lang w:eastAsia="pl-PL"/>
              </w:rPr>
              <w:t xml:space="preserve">nie wszystkie urzędy uwzględniają wnioski sądów powołujących się na </w:t>
            </w:r>
            <w:r w:rsidR="00CC65D3" w:rsidRPr="00FB07E7">
              <w:rPr>
                <w:rFonts w:ascii="Times New Roman" w:eastAsia="Times New Roman" w:hAnsi="Times New Roman" w:cs="Times New Roman"/>
                <w:sz w:val="20"/>
                <w:szCs w:val="20"/>
                <w:u w:val="single"/>
                <w:lang w:eastAsia="pl-PL"/>
              </w:rPr>
              <w:t>„</w:t>
            </w:r>
            <w:r w:rsidRPr="00FB07E7">
              <w:rPr>
                <w:rFonts w:ascii="Times New Roman" w:eastAsia="Times New Roman" w:hAnsi="Times New Roman" w:cs="Times New Roman"/>
                <w:sz w:val="20"/>
                <w:szCs w:val="20"/>
                <w:u w:val="single"/>
                <w:lang w:eastAsia="pl-PL"/>
              </w:rPr>
              <w:t>interes prawny</w:t>
            </w:r>
            <w:r w:rsidR="00CC65D3" w:rsidRPr="00FB07E7">
              <w:rPr>
                <w:rFonts w:ascii="Times New Roman" w:eastAsia="Times New Roman" w:hAnsi="Times New Roman" w:cs="Times New Roman"/>
                <w:sz w:val="20"/>
                <w:szCs w:val="20"/>
                <w:u w:val="single"/>
                <w:lang w:eastAsia="pl-PL"/>
              </w:rPr>
              <w:t>”</w:t>
            </w:r>
            <w:r w:rsidRPr="00D376B1">
              <w:rPr>
                <w:rFonts w:ascii="Times New Roman" w:eastAsia="Times New Roman" w:hAnsi="Times New Roman" w:cs="Times New Roman"/>
                <w:sz w:val="20"/>
                <w:szCs w:val="20"/>
                <w:lang w:eastAsia="pl-PL"/>
              </w:rPr>
              <w:t xml:space="preserve">, o którym mowa w </w:t>
            </w:r>
            <w:r>
              <w:rPr>
                <w:rFonts w:ascii="Times New Roman" w:eastAsia="Times New Roman" w:hAnsi="Times New Roman" w:cs="Times New Roman"/>
                <w:sz w:val="20"/>
                <w:szCs w:val="20"/>
                <w:lang w:eastAsia="pl-PL"/>
              </w:rPr>
              <w:t xml:space="preserve">art. 24 ust. 5 pkt 3 </w:t>
            </w:r>
            <w:r w:rsidR="00CC65D3">
              <w:rPr>
                <w:rFonts w:ascii="Times New Roman" w:eastAsia="Times New Roman" w:hAnsi="Times New Roman" w:cs="Times New Roman"/>
                <w:sz w:val="20"/>
                <w:szCs w:val="20"/>
                <w:lang w:eastAsia="pl-PL"/>
              </w:rPr>
              <w:t xml:space="preserve">ustawy </w:t>
            </w:r>
            <w:r>
              <w:rPr>
                <w:rFonts w:ascii="Times New Roman" w:eastAsia="Times New Roman" w:hAnsi="Times New Roman" w:cs="Times New Roman"/>
                <w:sz w:val="20"/>
                <w:szCs w:val="20"/>
                <w:lang w:eastAsia="pl-PL"/>
              </w:rPr>
              <w:t>Praw</w:t>
            </w:r>
            <w:r w:rsidR="00CC65D3">
              <w:rPr>
                <w:rFonts w:ascii="Times New Roman" w:eastAsia="Times New Roman" w:hAnsi="Times New Roman" w:cs="Times New Roman"/>
                <w:sz w:val="20"/>
                <w:szCs w:val="20"/>
                <w:lang w:eastAsia="pl-PL"/>
              </w:rPr>
              <w:t>o</w:t>
            </w:r>
            <w:r>
              <w:rPr>
                <w:rFonts w:ascii="Times New Roman" w:eastAsia="Times New Roman" w:hAnsi="Times New Roman" w:cs="Times New Roman"/>
                <w:sz w:val="20"/>
                <w:szCs w:val="20"/>
                <w:lang w:eastAsia="pl-PL"/>
              </w:rPr>
              <w:t xml:space="preserve"> geodezyjne i kartograficzne</w:t>
            </w:r>
            <w:r w:rsidR="00CC65D3">
              <w:rPr>
                <w:rFonts w:ascii="Times New Roman" w:eastAsia="Times New Roman" w:hAnsi="Times New Roman" w:cs="Times New Roman"/>
                <w:sz w:val="20"/>
                <w:szCs w:val="20"/>
                <w:lang w:eastAsia="pl-PL"/>
              </w:rPr>
              <w:t xml:space="preserve">, a w konsekwencji sądy nie mogą pozyskać </w:t>
            </w:r>
            <w:r w:rsidR="001963A9">
              <w:rPr>
                <w:rFonts w:ascii="Times New Roman" w:eastAsia="Times New Roman" w:hAnsi="Times New Roman" w:cs="Times New Roman"/>
                <w:sz w:val="20"/>
                <w:szCs w:val="20"/>
                <w:lang w:eastAsia="pl-PL"/>
              </w:rPr>
              <w:t>danych z ewidencji gruntów i budynków</w:t>
            </w:r>
            <w:r w:rsidR="00CC65D3">
              <w:rPr>
                <w:rFonts w:ascii="Times New Roman" w:eastAsia="Times New Roman" w:hAnsi="Times New Roman" w:cs="Times New Roman"/>
                <w:sz w:val="20"/>
                <w:szCs w:val="20"/>
                <w:lang w:eastAsia="pl-PL"/>
              </w:rPr>
              <w:t xml:space="preserve">, </w:t>
            </w:r>
            <w:r w:rsidR="001963A9">
              <w:rPr>
                <w:rFonts w:ascii="Times New Roman" w:eastAsia="Times New Roman" w:hAnsi="Times New Roman" w:cs="Times New Roman"/>
                <w:sz w:val="20"/>
                <w:szCs w:val="20"/>
                <w:lang w:eastAsia="pl-PL"/>
              </w:rPr>
              <w:t xml:space="preserve">które są </w:t>
            </w:r>
            <w:r w:rsidR="009A5060">
              <w:rPr>
                <w:rFonts w:ascii="Times New Roman" w:eastAsia="Times New Roman" w:hAnsi="Times New Roman" w:cs="Times New Roman"/>
                <w:sz w:val="20"/>
                <w:szCs w:val="20"/>
                <w:lang w:eastAsia="pl-PL"/>
              </w:rPr>
              <w:t>niezbędne Ponadto</w:t>
            </w:r>
            <w:r w:rsidRPr="00D376B1">
              <w:rPr>
                <w:rFonts w:ascii="Times New Roman" w:eastAsia="Times New Roman" w:hAnsi="Times New Roman" w:cs="Times New Roman"/>
                <w:sz w:val="20"/>
                <w:szCs w:val="20"/>
                <w:lang w:eastAsia="pl-PL"/>
              </w:rPr>
              <w:t xml:space="preserve"> trudno zgodzić się z twierdzeniem, że projektowana zmiana w żaden sposób nie ułatwia obywatelom dostępu do tego publicznego rejestru. Otóż zgodnie z projektowanym art. 515</w:t>
            </w:r>
            <w:r w:rsidRPr="00D376B1">
              <w:rPr>
                <w:rFonts w:ascii="Times New Roman" w:eastAsia="Times New Roman" w:hAnsi="Times New Roman" w:cs="Times New Roman"/>
                <w:sz w:val="20"/>
                <w:szCs w:val="20"/>
                <w:vertAlign w:val="superscript"/>
                <w:lang w:eastAsia="pl-PL"/>
              </w:rPr>
              <w:t>1</w:t>
            </w:r>
            <w:r w:rsidRPr="00D376B1">
              <w:rPr>
                <w:rFonts w:ascii="Times New Roman" w:eastAsia="Times New Roman" w:hAnsi="Times New Roman" w:cs="Times New Roman"/>
                <w:sz w:val="20"/>
                <w:szCs w:val="20"/>
                <w:lang w:eastAsia="pl-PL"/>
              </w:rPr>
              <w:t xml:space="preserve"> </w:t>
            </w:r>
            <w:r w:rsidR="009A5060" w:rsidRPr="00D376B1">
              <w:rPr>
                <w:rFonts w:ascii="Times New Roman" w:eastAsia="Times New Roman" w:hAnsi="Times New Roman" w:cs="Times New Roman"/>
                <w:sz w:val="20"/>
                <w:szCs w:val="20"/>
                <w:lang w:eastAsia="pl-PL"/>
              </w:rPr>
              <w:t>k.p.c.,</w:t>
            </w:r>
            <w:r w:rsidRPr="00D376B1">
              <w:rPr>
                <w:rFonts w:ascii="Times New Roman" w:eastAsia="Times New Roman" w:hAnsi="Times New Roman" w:cs="Times New Roman"/>
                <w:sz w:val="20"/>
                <w:szCs w:val="20"/>
                <w:lang w:eastAsia="pl-PL"/>
              </w:rPr>
              <w:t xml:space="preserve"> jeżeli ustawa nakłada na sąd obowiązek ustalania faktów lub uczestnik postępowania uprawdopodobni, że uzyskanie istotnych informacji jest nadmiernie utrudnione lub powodowałoby nieuzasadnioną zwłokę, sąd może je pozyskać w szczególności </w:t>
            </w:r>
            <w:r w:rsidR="002A0BF2">
              <w:rPr>
                <w:rFonts w:ascii="Times New Roman" w:eastAsia="Times New Roman" w:hAnsi="Times New Roman" w:cs="Times New Roman"/>
                <w:sz w:val="20"/>
                <w:szCs w:val="20"/>
                <w:lang w:eastAsia="pl-PL"/>
              </w:rPr>
              <w:t>w drodze elektronicznej z dostępnych</w:t>
            </w:r>
            <w:r w:rsidR="00C471DC">
              <w:rPr>
                <w:rFonts w:ascii="Times New Roman" w:eastAsia="Times New Roman" w:hAnsi="Times New Roman" w:cs="Times New Roman"/>
                <w:sz w:val="20"/>
                <w:szCs w:val="20"/>
                <w:lang w:eastAsia="pl-PL"/>
              </w:rPr>
              <w:t xml:space="preserve"> rejestrów publicznych</w:t>
            </w:r>
            <w:r w:rsidRPr="00D376B1">
              <w:rPr>
                <w:rFonts w:ascii="Times New Roman" w:eastAsia="Times New Roman" w:hAnsi="Times New Roman" w:cs="Times New Roman"/>
                <w:sz w:val="20"/>
                <w:szCs w:val="20"/>
                <w:lang w:eastAsia="pl-PL"/>
              </w:rPr>
              <w:t>.</w:t>
            </w:r>
          </w:p>
        </w:tc>
      </w:tr>
      <w:tr w:rsidR="00C41BB0" w14:paraId="08798C30" w14:textId="77777777" w:rsidTr="00C51680">
        <w:trPr>
          <w:jc w:val="center"/>
        </w:trPr>
        <w:tc>
          <w:tcPr>
            <w:tcW w:w="561" w:type="dxa"/>
          </w:tcPr>
          <w:p w14:paraId="2C07B4BA" w14:textId="60707FEA" w:rsidR="00C41BB0" w:rsidRPr="00B919AF" w:rsidRDefault="00C87548" w:rsidP="00C41BB0">
            <w:pPr>
              <w:spacing w:before="120"/>
              <w:ind w:right="-534"/>
              <w:rPr>
                <w:rFonts w:ascii="Times New Roman" w:hAnsi="Times New Roman" w:cs="Times New Roman"/>
                <w:b/>
                <w:sz w:val="20"/>
              </w:rPr>
            </w:pPr>
            <w:bookmarkStart w:id="4" w:name="_Hlk90460400"/>
            <w:r>
              <w:rPr>
                <w:rFonts w:ascii="Times New Roman" w:hAnsi="Times New Roman" w:cs="Times New Roman"/>
                <w:b/>
                <w:sz w:val="20"/>
              </w:rPr>
              <w:t>7</w:t>
            </w:r>
            <w:r w:rsidR="00C41BB0">
              <w:rPr>
                <w:rFonts w:ascii="Times New Roman" w:hAnsi="Times New Roman" w:cs="Times New Roman"/>
                <w:b/>
                <w:sz w:val="20"/>
              </w:rPr>
              <w:t>.</w:t>
            </w:r>
          </w:p>
        </w:tc>
        <w:tc>
          <w:tcPr>
            <w:tcW w:w="1841" w:type="dxa"/>
            <w:vAlign w:val="center"/>
          </w:tcPr>
          <w:p w14:paraId="3EAD1A1D" w14:textId="755367D8" w:rsidR="00C41BB0" w:rsidRDefault="00C41BB0" w:rsidP="00C41BB0">
            <w:pPr>
              <w:spacing w:before="120" w:after="120"/>
              <w:jc w:val="center"/>
              <w:rPr>
                <w:rFonts w:ascii="Times New Roman" w:hAnsi="Times New Roman" w:cs="Times New Roman"/>
                <w:sz w:val="20"/>
              </w:rPr>
            </w:pPr>
            <w:r>
              <w:rPr>
                <w:rFonts w:ascii="Times New Roman" w:hAnsi="Times New Roman" w:cs="Times New Roman"/>
                <w:sz w:val="20"/>
              </w:rPr>
              <w:t>GUGiK</w:t>
            </w:r>
          </w:p>
        </w:tc>
        <w:tc>
          <w:tcPr>
            <w:tcW w:w="1883" w:type="dxa"/>
            <w:vAlign w:val="center"/>
          </w:tcPr>
          <w:p w14:paraId="26E208FE" w14:textId="77777777" w:rsidR="00C41BB0" w:rsidRPr="0019403C" w:rsidRDefault="00C41BB0" w:rsidP="00C41BB0">
            <w:pPr>
              <w:rPr>
                <w:rFonts w:ascii="Times New Roman" w:eastAsia="Times New Roman" w:hAnsi="Times New Roman" w:cs="Times New Roman"/>
                <w:sz w:val="18"/>
                <w:szCs w:val="20"/>
                <w:lang w:eastAsia="pl-PL"/>
              </w:rPr>
            </w:pPr>
            <w:r w:rsidRPr="0019403C">
              <w:rPr>
                <w:rFonts w:ascii="Times New Roman" w:hAnsi="Times New Roman" w:cs="Times New Roman"/>
                <w:sz w:val="18"/>
                <w:szCs w:val="20"/>
              </w:rPr>
              <w:t>Art. 4 pkt 2</w:t>
            </w:r>
            <w:r w:rsidRPr="0019403C">
              <w:rPr>
                <w:rFonts w:ascii="Times New Roman" w:eastAsia="Times New Roman" w:hAnsi="Times New Roman" w:cs="Times New Roman"/>
                <w:sz w:val="18"/>
                <w:szCs w:val="20"/>
                <w:lang w:eastAsia="pl-PL"/>
              </w:rPr>
              <w:t xml:space="preserve"> </w:t>
            </w:r>
          </w:p>
          <w:p w14:paraId="487FAED2" w14:textId="77777777" w:rsidR="00C41BB0" w:rsidRPr="0019403C" w:rsidRDefault="00C41BB0" w:rsidP="00C41BB0">
            <w:pPr>
              <w:rPr>
                <w:rFonts w:ascii="Times New Roman" w:eastAsia="Times New Roman" w:hAnsi="Times New Roman" w:cs="Times New Roman"/>
                <w:sz w:val="18"/>
                <w:szCs w:val="20"/>
                <w:lang w:eastAsia="pl-PL"/>
              </w:rPr>
            </w:pPr>
            <w:r w:rsidRPr="0019403C">
              <w:rPr>
                <w:rFonts w:ascii="Times New Roman" w:eastAsia="Times New Roman" w:hAnsi="Times New Roman" w:cs="Times New Roman"/>
                <w:sz w:val="18"/>
                <w:szCs w:val="20"/>
                <w:lang w:eastAsia="pl-PL"/>
              </w:rPr>
              <w:t>Art. 24b w ust. 1 pkt 4 Prawa geodezyjnego i kartograficznego otrzymuje brzmienie:</w:t>
            </w:r>
          </w:p>
          <w:p w14:paraId="11CF9C83" w14:textId="166C4494" w:rsidR="00C41BB0" w:rsidRPr="00C51680" w:rsidRDefault="00C41BB0" w:rsidP="00C41BB0">
            <w:pPr>
              <w:rPr>
                <w:rFonts w:ascii="Times New Roman" w:eastAsia="Times New Roman" w:hAnsi="Times New Roman" w:cs="Times New Roman"/>
                <w:i/>
                <w:color w:val="0000FF"/>
                <w:sz w:val="18"/>
                <w:szCs w:val="20"/>
                <w:lang w:eastAsia="pl-PL"/>
              </w:rPr>
            </w:pPr>
            <w:r w:rsidRPr="0019403C">
              <w:rPr>
                <w:rFonts w:ascii="Times New Roman" w:eastAsia="Times New Roman" w:hAnsi="Times New Roman" w:cs="Times New Roman"/>
                <w:i/>
                <w:color w:val="0000FF"/>
                <w:sz w:val="18"/>
                <w:szCs w:val="20"/>
                <w:lang w:eastAsia="pl-PL"/>
              </w:rPr>
              <w:t xml:space="preserve">„4) udostępnianie sądom danych z ewidencji gruntów i budynków na potrzeby prowadzonych </w:t>
            </w:r>
            <w:r w:rsidRPr="0019403C">
              <w:rPr>
                <w:rFonts w:ascii="Times New Roman" w:eastAsia="Times New Roman" w:hAnsi="Times New Roman" w:cs="Times New Roman"/>
                <w:i/>
                <w:color w:val="0000FF"/>
                <w:sz w:val="18"/>
                <w:szCs w:val="20"/>
                <w:lang w:eastAsia="pl-PL"/>
              </w:rPr>
              <w:lastRenderedPageBreak/>
              <w:t>postępowań, w tym dokonywania sprawdzeń, o których mowa w art. 626</w:t>
            </w:r>
            <w:r w:rsidRPr="0019403C">
              <w:rPr>
                <w:rFonts w:ascii="Times New Roman" w:eastAsia="Times New Roman" w:hAnsi="Times New Roman" w:cs="Times New Roman"/>
                <w:i/>
                <w:color w:val="0000FF"/>
                <w:sz w:val="18"/>
                <w:szCs w:val="20"/>
                <w:vertAlign w:val="superscript"/>
                <w:lang w:eastAsia="pl-PL"/>
              </w:rPr>
              <w:t>8</w:t>
            </w:r>
            <w:r w:rsidRPr="0019403C">
              <w:rPr>
                <w:rFonts w:ascii="Times New Roman" w:eastAsia="Times New Roman" w:hAnsi="Times New Roman" w:cs="Times New Roman"/>
                <w:i/>
                <w:color w:val="0000FF"/>
                <w:sz w:val="18"/>
                <w:szCs w:val="20"/>
                <w:lang w:eastAsia="pl-PL"/>
              </w:rPr>
              <w:t xml:space="preserve"> § 4 Kodeksu postępowania cywilnego;”.</w:t>
            </w:r>
          </w:p>
        </w:tc>
        <w:tc>
          <w:tcPr>
            <w:tcW w:w="5653" w:type="dxa"/>
            <w:vAlign w:val="center"/>
          </w:tcPr>
          <w:p w14:paraId="57EC3600" w14:textId="77777777" w:rsidR="00C41BB0" w:rsidRPr="0019403C" w:rsidRDefault="00C41BB0" w:rsidP="00C41BB0">
            <w:pPr>
              <w:jc w:val="both"/>
              <w:rPr>
                <w:rFonts w:ascii="Times New Roman" w:eastAsia="Times New Roman" w:hAnsi="Times New Roman" w:cs="Times New Roman"/>
                <w:b/>
                <w:sz w:val="20"/>
                <w:lang w:eastAsia="pl-PL"/>
              </w:rPr>
            </w:pPr>
            <w:r w:rsidRPr="0019403C">
              <w:rPr>
                <w:rFonts w:ascii="Times New Roman" w:eastAsia="Times New Roman" w:hAnsi="Times New Roman" w:cs="Times New Roman"/>
                <w:b/>
                <w:sz w:val="20"/>
                <w:lang w:eastAsia="pl-PL"/>
              </w:rPr>
              <w:lastRenderedPageBreak/>
              <w:t>Należy usunąć przepis z projektu ustawy.</w:t>
            </w:r>
          </w:p>
          <w:p w14:paraId="1BE095F6" w14:textId="77777777" w:rsidR="00C41BB0" w:rsidRPr="0019403C" w:rsidRDefault="00C41BB0" w:rsidP="00C41BB0">
            <w:pPr>
              <w:jc w:val="both"/>
              <w:rPr>
                <w:rFonts w:ascii="Times New Roman" w:eastAsia="Times New Roman" w:hAnsi="Times New Roman" w:cs="Times New Roman"/>
                <w:sz w:val="20"/>
                <w:lang w:eastAsia="pl-PL"/>
              </w:rPr>
            </w:pPr>
            <w:r w:rsidRPr="0019403C">
              <w:rPr>
                <w:rFonts w:ascii="Times New Roman" w:eastAsia="Times New Roman" w:hAnsi="Times New Roman" w:cs="Times New Roman"/>
                <w:sz w:val="20"/>
                <w:lang w:eastAsia="pl-PL"/>
              </w:rPr>
              <w:t>Wyjaśniam, że art. 24b ustawy Prawo geodezyjne i kartograficzne przedstawia zadania systemu teleinformatycznego jakim jest Zintegrowany System informacji o nieruchomościach (ZSIN). Tymczasem zaproponowana regulacja tworzy zupełnie inne zadanie, do którego ten system nie jest przewidziany, a środki finansowe na rozbudowę systemu nie zostały przewidziane w OSR.</w:t>
            </w:r>
          </w:p>
          <w:p w14:paraId="64B3F620" w14:textId="268A4439" w:rsidR="00C41BB0" w:rsidRPr="00322BC5" w:rsidRDefault="00C41BB0" w:rsidP="00C41BB0">
            <w:pPr>
              <w:ind w:firstLine="708"/>
              <w:jc w:val="center"/>
              <w:rPr>
                <w:rFonts w:ascii="Times New Roman" w:eastAsia="Times New Roman" w:hAnsi="Times New Roman" w:cs="Times New Roman"/>
                <w:sz w:val="20"/>
                <w:szCs w:val="20"/>
                <w:lang w:eastAsia="pl-PL"/>
              </w:rPr>
            </w:pPr>
          </w:p>
        </w:tc>
        <w:tc>
          <w:tcPr>
            <w:tcW w:w="4056" w:type="dxa"/>
          </w:tcPr>
          <w:p w14:paraId="725B9D29" w14:textId="3FA92405" w:rsidR="00AC0E42" w:rsidRDefault="00AC0E42" w:rsidP="00AC0E42">
            <w:pPr>
              <w:spacing w:after="120"/>
              <w:jc w:val="both"/>
              <w:rPr>
                <w:rFonts w:ascii="Times New Roman" w:eastAsia="Times New Roman" w:hAnsi="Times New Roman" w:cs="Times New Roman"/>
                <w:b/>
                <w:bCs/>
                <w:sz w:val="20"/>
                <w:szCs w:val="20"/>
                <w:lang w:eastAsia="pl-PL"/>
              </w:rPr>
            </w:pPr>
            <w:r w:rsidRPr="008854DC">
              <w:rPr>
                <w:rFonts w:ascii="Times New Roman" w:eastAsia="Times New Roman" w:hAnsi="Times New Roman" w:cs="Times New Roman"/>
                <w:b/>
                <w:bCs/>
                <w:sz w:val="20"/>
                <w:szCs w:val="20"/>
                <w:lang w:eastAsia="pl-PL"/>
              </w:rPr>
              <w:t>Uwaga uwzględniona</w:t>
            </w:r>
          </w:p>
          <w:p w14:paraId="66F60DBA" w14:textId="7AA3E8D5" w:rsidR="00C41BB0" w:rsidRPr="00322BC5" w:rsidRDefault="00AC0E42" w:rsidP="00AC0E42">
            <w:pPr>
              <w:jc w:val="both"/>
              <w:rPr>
                <w:rFonts w:ascii="Times New Roman" w:eastAsia="Times New Roman" w:hAnsi="Times New Roman" w:cs="Times New Roman"/>
                <w:sz w:val="20"/>
                <w:szCs w:val="20"/>
                <w:lang w:eastAsia="pl-PL"/>
              </w:rPr>
            </w:pPr>
            <w:r w:rsidRPr="00AC0E42">
              <w:rPr>
                <w:rFonts w:ascii="Times New Roman" w:eastAsia="Times New Roman" w:hAnsi="Times New Roman" w:cs="Times New Roman"/>
                <w:sz w:val="20"/>
                <w:szCs w:val="20"/>
                <w:lang w:eastAsia="pl-PL"/>
              </w:rPr>
              <w:t>Zaproponowano zmianę</w:t>
            </w:r>
            <w:r>
              <w:rPr>
                <w:rFonts w:ascii="Times New Roman" w:eastAsia="Times New Roman" w:hAnsi="Times New Roman" w:cs="Times New Roman"/>
                <w:sz w:val="20"/>
                <w:szCs w:val="20"/>
                <w:lang w:eastAsia="pl-PL"/>
              </w:rPr>
              <w:t xml:space="preserve"> </w:t>
            </w:r>
            <w:r w:rsidRPr="00AC0E42">
              <w:rPr>
                <w:rFonts w:ascii="Times New Roman" w:eastAsia="Times New Roman" w:hAnsi="Times New Roman" w:cs="Times New Roman"/>
                <w:sz w:val="20"/>
                <w:szCs w:val="20"/>
                <w:lang w:eastAsia="pl-PL"/>
              </w:rPr>
              <w:t>w art. 24b w ust. 1 pkt 6</w:t>
            </w:r>
            <w:r>
              <w:t xml:space="preserve"> </w:t>
            </w:r>
            <w:r w:rsidRPr="00AC0E42">
              <w:rPr>
                <w:rFonts w:ascii="Times New Roman" w:eastAsia="Times New Roman" w:hAnsi="Times New Roman" w:cs="Times New Roman"/>
                <w:sz w:val="20"/>
                <w:szCs w:val="20"/>
                <w:lang w:eastAsia="pl-PL"/>
              </w:rPr>
              <w:t xml:space="preserve">Prawa geodezyjnego i kartograficznego, któremu nadano nowe brzmienie: </w:t>
            </w:r>
            <w:r>
              <w:rPr>
                <w:rFonts w:ascii="Times New Roman" w:eastAsia="Times New Roman" w:hAnsi="Times New Roman" w:cs="Times New Roman"/>
                <w:sz w:val="20"/>
                <w:szCs w:val="20"/>
                <w:lang w:eastAsia="pl-PL"/>
              </w:rPr>
              <w:t>„</w:t>
            </w:r>
            <w:r w:rsidRPr="00AC0E42">
              <w:rPr>
                <w:rFonts w:ascii="Times New Roman" w:hAnsi="Times New Roman"/>
                <w:sz w:val="20"/>
                <w:szCs w:val="20"/>
              </w:rPr>
              <w:t xml:space="preserve">6) </w:t>
            </w:r>
            <w:r w:rsidRPr="006B742B">
              <w:rPr>
                <w:rFonts w:ascii="Times New Roman" w:hAnsi="Times New Roman"/>
                <w:i/>
                <w:iCs/>
                <w:sz w:val="20"/>
                <w:szCs w:val="20"/>
                <w:shd w:val="clear" w:color="auto" w:fill="FFFFFF"/>
              </w:rPr>
              <w:t xml:space="preserve">udostępnianie organom administracji publicznej oraz innym podmiotom, realizującym zadania publiczne na podstawie odrębnych przepisów albo na skutek ich powierzenia lub </w:t>
            </w:r>
            <w:r w:rsidRPr="006B742B">
              <w:rPr>
                <w:rFonts w:ascii="Times New Roman" w:hAnsi="Times New Roman"/>
                <w:i/>
                <w:iCs/>
                <w:sz w:val="20"/>
                <w:szCs w:val="20"/>
                <w:shd w:val="clear" w:color="auto" w:fill="FFFFFF"/>
              </w:rPr>
              <w:lastRenderedPageBreak/>
              <w:t xml:space="preserve">zlecenia przez organ administracji publicznej, danych ewidencji gruntów i budynków niezbędnych do realizacji przez te podmioty zadań publicznych </w:t>
            </w:r>
            <w:r w:rsidRPr="006B742B">
              <w:rPr>
                <w:rFonts w:ascii="Times New Roman" w:eastAsia="Times New Roman" w:hAnsi="Times New Roman"/>
                <w:i/>
                <w:iCs/>
                <w:sz w:val="20"/>
                <w:szCs w:val="20"/>
                <w:shd w:val="clear" w:color="auto" w:fill="FFFFFF"/>
                <w:lang w:eastAsia="pl-PL"/>
              </w:rPr>
              <w:t>a także sądom na potrzeby prowadzonych postępowań</w:t>
            </w:r>
            <w:r>
              <w:rPr>
                <w:rFonts w:ascii="Times New Roman" w:eastAsia="Times New Roman" w:hAnsi="Times New Roman"/>
                <w:sz w:val="20"/>
                <w:szCs w:val="20"/>
                <w:shd w:val="clear" w:color="auto" w:fill="FFFFFF"/>
                <w:lang w:eastAsia="pl-PL"/>
              </w:rPr>
              <w:t>.”</w:t>
            </w:r>
          </w:p>
        </w:tc>
      </w:tr>
      <w:tr w:rsidR="00C41BB0" w14:paraId="073A0DF1" w14:textId="77777777" w:rsidTr="00C51680">
        <w:trPr>
          <w:jc w:val="center"/>
        </w:trPr>
        <w:tc>
          <w:tcPr>
            <w:tcW w:w="561" w:type="dxa"/>
          </w:tcPr>
          <w:p w14:paraId="4FF3655E" w14:textId="22C668B5" w:rsidR="00C41BB0" w:rsidRDefault="00C87548" w:rsidP="00C41BB0">
            <w:pPr>
              <w:spacing w:before="120"/>
              <w:ind w:right="-534"/>
              <w:rPr>
                <w:rFonts w:ascii="Times New Roman" w:hAnsi="Times New Roman" w:cs="Times New Roman"/>
                <w:b/>
                <w:sz w:val="20"/>
              </w:rPr>
            </w:pPr>
            <w:r>
              <w:rPr>
                <w:rFonts w:ascii="Times New Roman" w:hAnsi="Times New Roman" w:cs="Times New Roman"/>
                <w:b/>
                <w:sz w:val="20"/>
              </w:rPr>
              <w:lastRenderedPageBreak/>
              <w:t>8</w:t>
            </w:r>
            <w:r w:rsidR="00C41BB0">
              <w:rPr>
                <w:rFonts w:ascii="Times New Roman" w:hAnsi="Times New Roman" w:cs="Times New Roman"/>
                <w:b/>
                <w:sz w:val="20"/>
              </w:rPr>
              <w:t>.</w:t>
            </w:r>
          </w:p>
        </w:tc>
        <w:tc>
          <w:tcPr>
            <w:tcW w:w="1841" w:type="dxa"/>
            <w:vAlign w:val="center"/>
          </w:tcPr>
          <w:p w14:paraId="478497C5" w14:textId="64A13C6C" w:rsidR="00C41BB0" w:rsidRDefault="00C41BB0" w:rsidP="00C41BB0">
            <w:pPr>
              <w:spacing w:before="120" w:after="120"/>
              <w:jc w:val="center"/>
              <w:rPr>
                <w:rFonts w:ascii="Times New Roman" w:hAnsi="Times New Roman" w:cs="Times New Roman"/>
                <w:sz w:val="20"/>
              </w:rPr>
            </w:pPr>
            <w:r>
              <w:rPr>
                <w:rFonts w:ascii="Times New Roman" w:hAnsi="Times New Roman" w:cs="Times New Roman"/>
                <w:sz w:val="20"/>
              </w:rPr>
              <w:t>GUGiK</w:t>
            </w:r>
          </w:p>
        </w:tc>
        <w:tc>
          <w:tcPr>
            <w:tcW w:w="1883" w:type="dxa"/>
            <w:vAlign w:val="center"/>
          </w:tcPr>
          <w:p w14:paraId="7DFF0A90" w14:textId="77777777" w:rsidR="00C41BB0" w:rsidRPr="0019403C" w:rsidRDefault="00C41BB0" w:rsidP="00C41BB0">
            <w:pPr>
              <w:rPr>
                <w:rFonts w:ascii="Times New Roman" w:eastAsia="Times New Roman" w:hAnsi="Times New Roman" w:cs="Times New Roman"/>
                <w:sz w:val="18"/>
                <w:szCs w:val="20"/>
                <w:lang w:eastAsia="pl-PL"/>
              </w:rPr>
            </w:pPr>
            <w:r w:rsidRPr="0019403C">
              <w:rPr>
                <w:rFonts w:ascii="Times New Roman" w:eastAsia="Times New Roman" w:hAnsi="Times New Roman" w:cs="Times New Roman"/>
                <w:sz w:val="18"/>
                <w:szCs w:val="20"/>
                <w:lang w:eastAsia="pl-PL"/>
              </w:rPr>
              <w:t>Art. 5 pkt 2</w:t>
            </w:r>
          </w:p>
          <w:p w14:paraId="3C45425B" w14:textId="77777777" w:rsidR="00C41BB0" w:rsidRPr="0019403C" w:rsidRDefault="00C41BB0" w:rsidP="00C41BB0">
            <w:pPr>
              <w:rPr>
                <w:rFonts w:ascii="Times New Roman" w:eastAsia="Times New Roman" w:hAnsi="Times New Roman" w:cs="Times New Roman"/>
                <w:sz w:val="18"/>
                <w:szCs w:val="20"/>
                <w:lang w:eastAsia="pl-PL"/>
              </w:rPr>
            </w:pPr>
            <w:r w:rsidRPr="0019403C">
              <w:rPr>
                <w:rFonts w:ascii="Times New Roman" w:eastAsia="Times New Roman" w:hAnsi="Times New Roman" w:cs="Times New Roman"/>
                <w:sz w:val="18"/>
                <w:szCs w:val="20"/>
                <w:lang w:eastAsia="pl-PL"/>
              </w:rPr>
              <w:t>W ustawie z dnia 27 lipca 2001 r. – Prawo o ustroju sądów powszechnych po art. 20a dodaje się art. 20b w brzmieniu:</w:t>
            </w:r>
          </w:p>
          <w:p w14:paraId="44BF4B7D" w14:textId="480F6344" w:rsidR="00C41BB0" w:rsidRPr="0019403C" w:rsidRDefault="00C41BB0" w:rsidP="00C41BB0">
            <w:pPr>
              <w:rPr>
                <w:rFonts w:ascii="Times New Roman" w:hAnsi="Times New Roman" w:cs="Times New Roman"/>
                <w:sz w:val="18"/>
                <w:szCs w:val="20"/>
              </w:rPr>
            </w:pPr>
            <w:r w:rsidRPr="0019403C">
              <w:rPr>
                <w:rFonts w:ascii="Times New Roman" w:eastAsia="Times New Roman" w:hAnsi="Times New Roman" w:cs="Times New Roman"/>
                <w:i/>
                <w:color w:val="0000FF"/>
                <w:sz w:val="18"/>
                <w:szCs w:val="20"/>
                <w:lang w:eastAsia="pl-PL"/>
              </w:rPr>
              <w:t>„Art. 20b. Dokumenty wytworzone na potrzeby prowadzonych postępowań sądowych, na podstawie danych zgromadzonych w rejestrach, bazach lub ewidencjach, do których sąd ma zapewniony dostęp na podstawie przepisów szczególnych, posiadają moc prawną dokumentów urzędowych.”.</w:t>
            </w:r>
          </w:p>
        </w:tc>
        <w:tc>
          <w:tcPr>
            <w:tcW w:w="5653" w:type="dxa"/>
            <w:vAlign w:val="center"/>
          </w:tcPr>
          <w:p w14:paraId="3DBC52C3" w14:textId="77777777" w:rsidR="00C41BB0" w:rsidRPr="0019403C" w:rsidRDefault="00C41BB0" w:rsidP="00C41BB0">
            <w:pPr>
              <w:jc w:val="both"/>
              <w:rPr>
                <w:rFonts w:ascii="Times New Roman" w:eastAsia="Times New Roman" w:hAnsi="Times New Roman" w:cs="Times New Roman"/>
                <w:sz w:val="20"/>
                <w:lang w:eastAsia="pl-PL"/>
              </w:rPr>
            </w:pPr>
            <w:r w:rsidRPr="0019403C">
              <w:rPr>
                <w:rFonts w:ascii="Times New Roman" w:eastAsia="Times New Roman" w:hAnsi="Times New Roman" w:cs="Times New Roman"/>
                <w:sz w:val="20"/>
                <w:lang w:eastAsia="pl-PL"/>
              </w:rPr>
              <w:t xml:space="preserve">Zaproponowana regulacja </w:t>
            </w:r>
            <w:r>
              <w:rPr>
                <w:rFonts w:ascii="Times New Roman" w:eastAsia="Times New Roman" w:hAnsi="Times New Roman" w:cs="Times New Roman"/>
                <w:sz w:val="20"/>
                <w:lang w:eastAsia="pl-PL"/>
              </w:rPr>
              <w:t xml:space="preserve">może </w:t>
            </w:r>
            <w:r w:rsidRPr="0019403C">
              <w:rPr>
                <w:rFonts w:ascii="Times New Roman" w:eastAsia="Times New Roman" w:hAnsi="Times New Roman" w:cs="Times New Roman"/>
                <w:sz w:val="20"/>
                <w:lang w:eastAsia="pl-PL"/>
              </w:rPr>
              <w:t>doprowadzić do bardzo niebezpiecznych sytuacji, w których będą tworzone dokumenty posiadające moc prawną dokumentów urzędowych:</w:t>
            </w:r>
          </w:p>
          <w:p w14:paraId="7CBFE298" w14:textId="77777777" w:rsidR="00C41BB0" w:rsidRPr="0019403C" w:rsidRDefault="00C41BB0" w:rsidP="00C41BB0">
            <w:pPr>
              <w:pStyle w:val="Akapitzlist"/>
              <w:numPr>
                <w:ilvl w:val="0"/>
                <w:numId w:val="24"/>
              </w:numPr>
              <w:jc w:val="both"/>
              <w:rPr>
                <w:rFonts w:ascii="Times New Roman" w:eastAsia="Times New Roman" w:hAnsi="Times New Roman" w:cs="Times New Roman"/>
                <w:sz w:val="20"/>
                <w:lang w:eastAsia="pl-PL"/>
              </w:rPr>
            </w:pPr>
            <w:r w:rsidRPr="0019403C">
              <w:rPr>
                <w:rFonts w:ascii="Times New Roman" w:eastAsia="Times New Roman" w:hAnsi="Times New Roman" w:cs="Times New Roman"/>
                <w:sz w:val="20"/>
                <w:lang w:eastAsia="pl-PL"/>
              </w:rPr>
              <w:t xml:space="preserve">poza kontrolą organu prowadzącego </w:t>
            </w:r>
            <w:r w:rsidRPr="00BC252C">
              <w:rPr>
                <w:rFonts w:ascii="Times New Roman" w:eastAsia="Times New Roman" w:hAnsi="Times New Roman" w:cs="Times New Roman"/>
                <w:sz w:val="20"/>
                <w:u w:val="single"/>
                <w:lang w:eastAsia="pl-PL"/>
              </w:rPr>
              <w:t>rejestr</w:t>
            </w:r>
            <w:r w:rsidRPr="0019403C">
              <w:rPr>
                <w:rFonts w:ascii="Times New Roman" w:eastAsia="Times New Roman" w:hAnsi="Times New Roman" w:cs="Times New Roman"/>
                <w:sz w:val="20"/>
                <w:lang w:eastAsia="pl-PL"/>
              </w:rPr>
              <w:t xml:space="preserve">, </w:t>
            </w:r>
            <w:r w:rsidRPr="00BC252C">
              <w:rPr>
                <w:rFonts w:ascii="Times New Roman" w:eastAsia="Times New Roman" w:hAnsi="Times New Roman" w:cs="Times New Roman"/>
                <w:sz w:val="20"/>
                <w:u w:val="single"/>
                <w:lang w:eastAsia="pl-PL"/>
              </w:rPr>
              <w:t>bazę</w:t>
            </w:r>
            <w:r w:rsidRPr="0019403C">
              <w:rPr>
                <w:rFonts w:ascii="Times New Roman" w:eastAsia="Times New Roman" w:hAnsi="Times New Roman" w:cs="Times New Roman"/>
                <w:sz w:val="20"/>
                <w:lang w:eastAsia="pl-PL"/>
              </w:rPr>
              <w:t xml:space="preserve"> lub </w:t>
            </w:r>
            <w:r w:rsidRPr="00BC252C">
              <w:rPr>
                <w:rFonts w:ascii="Times New Roman" w:eastAsia="Times New Roman" w:hAnsi="Times New Roman" w:cs="Times New Roman"/>
                <w:sz w:val="20"/>
                <w:u w:val="single"/>
                <w:lang w:eastAsia="pl-PL"/>
              </w:rPr>
              <w:t>ewidencję</w:t>
            </w:r>
            <w:r w:rsidRPr="0019403C">
              <w:rPr>
                <w:rFonts w:ascii="Times New Roman" w:eastAsia="Times New Roman" w:hAnsi="Times New Roman" w:cs="Times New Roman"/>
                <w:sz w:val="20"/>
                <w:lang w:eastAsia="pl-PL"/>
              </w:rPr>
              <w:t>, który jako jedyny posiada odpowiednią wiedzę w zakresie wiarygodności i aktualności informacji zawartych w tej ewidencji.</w:t>
            </w:r>
          </w:p>
          <w:p w14:paraId="6864E6AA" w14:textId="77777777" w:rsidR="00C41BB0" w:rsidRPr="0019403C" w:rsidRDefault="00C41BB0" w:rsidP="00C41BB0">
            <w:pPr>
              <w:pStyle w:val="Akapitzlist"/>
              <w:numPr>
                <w:ilvl w:val="0"/>
                <w:numId w:val="24"/>
              </w:numPr>
              <w:jc w:val="both"/>
              <w:rPr>
                <w:rFonts w:ascii="Times New Roman" w:eastAsia="Times New Roman" w:hAnsi="Times New Roman" w:cs="Times New Roman"/>
                <w:sz w:val="20"/>
                <w:lang w:eastAsia="pl-PL"/>
              </w:rPr>
            </w:pPr>
            <w:r w:rsidRPr="0019403C">
              <w:rPr>
                <w:rFonts w:ascii="Times New Roman" w:eastAsia="Times New Roman" w:hAnsi="Times New Roman" w:cs="Times New Roman"/>
                <w:sz w:val="20"/>
                <w:lang w:eastAsia="pl-PL"/>
              </w:rPr>
              <w:t>z co najmniej niejasną sytuacją związaną z odpowiedzialnością za wytworzone dokumenty;</w:t>
            </w:r>
          </w:p>
          <w:p w14:paraId="01F1F4EF" w14:textId="77777777" w:rsidR="00C41BB0" w:rsidRPr="0019403C" w:rsidRDefault="00C41BB0" w:rsidP="00C41BB0">
            <w:pPr>
              <w:pStyle w:val="Akapitzlist"/>
              <w:numPr>
                <w:ilvl w:val="0"/>
                <w:numId w:val="24"/>
              </w:numPr>
              <w:jc w:val="both"/>
              <w:rPr>
                <w:rFonts w:ascii="Times New Roman" w:eastAsia="Times New Roman" w:hAnsi="Times New Roman" w:cs="Times New Roman"/>
                <w:sz w:val="20"/>
                <w:lang w:eastAsia="pl-PL"/>
              </w:rPr>
            </w:pPr>
            <w:r w:rsidRPr="0019403C">
              <w:rPr>
                <w:rFonts w:ascii="Times New Roman" w:eastAsia="Times New Roman" w:hAnsi="Times New Roman" w:cs="Times New Roman"/>
                <w:sz w:val="20"/>
                <w:lang w:eastAsia="pl-PL"/>
              </w:rPr>
              <w:t>z niejasną sytuacją dotyczącą kręgu osób lub podmiotów, które będą mogły takie dokumenty wytwarzać.</w:t>
            </w:r>
          </w:p>
          <w:p w14:paraId="3A4E1AE3" w14:textId="2EFE18BE" w:rsidR="00C41BB0" w:rsidRPr="0019403C" w:rsidRDefault="00C41BB0" w:rsidP="00C41BB0">
            <w:pPr>
              <w:jc w:val="both"/>
              <w:rPr>
                <w:rFonts w:ascii="Times New Roman" w:eastAsia="Times New Roman" w:hAnsi="Times New Roman" w:cs="Times New Roman"/>
                <w:sz w:val="20"/>
                <w:lang w:eastAsia="pl-PL"/>
              </w:rPr>
            </w:pPr>
            <w:r w:rsidRPr="0019403C">
              <w:rPr>
                <w:rFonts w:ascii="Times New Roman" w:eastAsia="Times New Roman" w:hAnsi="Times New Roman" w:cs="Times New Roman"/>
                <w:sz w:val="20"/>
                <w:lang w:eastAsia="pl-PL"/>
              </w:rPr>
              <w:t xml:space="preserve">W przypadku danych ewidencji gruntów i budynków, tylko dokumenty wytworzone przez </w:t>
            </w:r>
            <w:r w:rsidR="009A5060" w:rsidRPr="0019403C">
              <w:rPr>
                <w:rFonts w:ascii="Times New Roman" w:eastAsia="Times New Roman" w:hAnsi="Times New Roman" w:cs="Times New Roman"/>
                <w:sz w:val="20"/>
                <w:lang w:eastAsia="pl-PL"/>
              </w:rPr>
              <w:t>organ prowadzący</w:t>
            </w:r>
            <w:r w:rsidRPr="0019403C">
              <w:rPr>
                <w:rFonts w:ascii="Times New Roman" w:eastAsia="Times New Roman" w:hAnsi="Times New Roman" w:cs="Times New Roman"/>
                <w:sz w:val="20"/>
                <w:lang w:eastAsia="pl-PL"/>
              </w:rPr>
              <w:t xml:space="preserve"> tą ewidencję (Wypis z rejestru gruntów lub Wyrys z mapy ewidencyjnej) gwarantują wiarygodność i aktualność informacji w niej zawartych.</w:t>
            </w:r>
          </w:p>
          <w:p w14:paraId="616A5ACB" w14:textId="77777777" w:rsidR="00C41BB0" w:rsidRPr="0019403C" w:rsidRDefault="00C41BB0" w:rsidP="00C41BB0">
            <w:pPr>
              <w:rPr>
                <w:sz w:val="20"/>
              </w:rPr>
            </w:pPr>
            <w:r w:rsidRPr="0019403C">
              <w:rPr>
                <w:rFonts w:ascii="Times New Roman" w:eastAsia="Times New Roman" w:hAnsi="Times New Roman" w:cs="Times New Roman"/>
                <w:sz w:val="20"/>
                <w:lang w:eastAsia="pl-PL"/>
              </w:rPr>
              <w:t>Zasada, że jedynie organ prowadzący dany rejestr, bazę lub ewidencję jest upoważniony do wydawania dokumentów posiadających moc prawną dokumentów urzędowych nie może zostać naruszona.</w:t>
            </w:r>
          </w:p>
          <w:p w14:paraId="482A16E8" w14:textId="77777777" w:rsidR="00C41BB0" w:rsidRPr="0019403C" w:rsidRDefault="00C41BB0" w:rsidP="00C41BB0">
            <w:pPr>
              <w:jc w:val="both"/>
              <w:rPr>
                <w:rFonts w:ascii="Times New Roman" w:eastAsia="Times New Roman" w:hAnsi="Times New Roman" w:cs="Times New Roman"/>
                <w:sz w:val="20"/>
                <w:lang w:eastAsia="pl-PL"/>
              </w:rPr>
            </w:pPr>
          </w:p>
          <w:p w14:paraId="11BD911C" w14:textId="77777777" w:rsidR="00C41BB0" w:rsidRPr="0019403C" w:rsidRDefault="00C41BB0" w:rsidP="00C41BB0">
            <w:pPr>
              <w:jc w:val="both"/>
              <w:rPr>
                <w:rFonts w:ascii="Times New Roman" w:eastAsia="Times New Roman" w:hAnsi="Times New Roman" w:cs="Times New Roman"/>
                <w:b/>
                <w:sz w:val="20"/>
                <w:lang w:eastAsia="pl-PL"/>
              </w:rPr>
            </w:pPr>
            <w:r w:rsidRPr="0019403C">
              <w:rPr>
                <w:rFonts w:ascii="Times New Roman" w:eastAsia="Times New Roman" w:hAnsi="Times New Roman" w:cs="Times New Roman"/>
                <w:b/>
                <w:sz w:val="20"/>
                <w:lang w:eastAsia="pl-PL"/>
              </w:rPr>
              <w:t>Należy usunąć przepis z projektu ustawy.</w:t>
            </w:r>
          </w:p>
          <w:p w14:paraId="79BFDBF7" w14:textId="77777777" w:rsidR="00C41BB0" w:rsidRPr="0019403C" w:rsidRDefault="00C41BB0" w:rsidP="00C41BB0">
            <w:pPr>
              <w:jc w:val="both"/>
              <w:rPr>
                <w:rFonts w:ascii="Times New Roman" w:eastAsia="Times New Roman" w:hAnsi="Times New Roman" w:cs="Times New Roman"/>
                <w:b/>
                <w:sz w:val="20"/>
                <w:lang w:eastAsia="pl-PL"/>
              </w:rPr>
            </w:pPr>
          </w:p>
        </w:tc>
        <w:tc>
          <w:tcPr>
            <w:tcW w:w="4056" w:type="dxa"/>
          </w:tcPr>
          <w:p w14:paraId="643680F4" w14:textId="77777777" w:rsidR="00C41BB0" w:rsidRDefault="008854DC" w:rsidP="008854DC">
            <w:pPr>
              <w:spacing w:after="120"/>
              <w:jc w:val="both"/>
              <w:rPr>
                <w:rFonts w:ascii="Times New Roman" w:eastAsia="Times New Roman" w:hAnsi="Times New Roman" w:cs="Times New Roman"/>
                <w:b/>
                <w:bCs/>
                <w:sz w:val="20"/>
                <w:szCs w:val="20"/>
                <w:lang w:eastAsia="pl-PL"/>
              </w:rPr>
            </w:pPr>
            <w:r w:rsidRPr="008854DC">
              <w:rPr>
                <w:rFonts w:ascii="Times New Roman" w:eastAsia="Times New Roman" w:hAnsi="Times New Roman" w:cs="Times New Roman"/>
                <w:b/>
                <w:bCs/>
                <w:sz w:val="20"/>
                <w:szCs w:val="20"/>
                <w:lang w:eastAsia="pl-PL"/>
              </w:rPr>
              <w:t>Uwaga uwzględniona</w:t>
            </w:r>
          </w:p>
          <w:p w14:paraId="50667F9A" w14:textId="727655EA" w:rsidR="008854DC" w:rsidRPr="008854DC" w:rsidRDefault="008854DC" w:rsidP="008854DC">
            <w:pPr>
              <w:spacing w:after="120"/>
              <w:jc w:val="both"/>
              <w:rPr>
                <w:rFonts w:ascii="Times New Roman" w:eastAsia="Times New Roman" w:hAnsi="Times New Roman" w:cs="Times New Roman"/>
                <w:sz w:val="20"/>
                <w:szCs w:val="20"/>
                <w:lang w:eastAsia="pl-PL"/>
              </w:rPr>
            </w:pPr>
            <w:r w:rsidRPr="008854DC">
              <w:rPr>
                <w:rFonts w:ascii="Times New Roman" w:eastAsia="Times New Roman" w:hAnsi="Times New Roman" w:cs="Times New Roman"/>
                <w:sz w:val="20"/>
                <w:szCs w:val="20"/>
                <w:lang w:eastAsia="pl-PL"/>
              </w:rPr>
              <w:t>Przepis został usunięty.</w:t>
            </w:r>
            <w:r>
              <w:rPr>
                <w:rFonts w:ascii="Times New Roman" w:eastAsia="Times New Roman" w:hAnsi="Times New Roman" w:cs="Times New Roman"/>
                <w:sz w:val="20"/>
                <w:szCs w:val="20"/>
                <w:lang w:eastAsia="pl-PL"/>
              </w:rPr>
              <w:t xml:space="preserve"> </w:t>
            </w:r>
          </w:p>
        </w:tc>
      </w:tr>
      <w:bookmarkEnd w:id="4"/>
      <w:tr w:rsidR="00C41BB0" w14:paraId="1CA5AB4D" w14:textId="77777777" w:rsidTr="00B919AF">
        <w:trPr>
          <w:jc w:val="center"/>
        </w:trPr>
        <w:tc>
          <w:tcPr>
            <w:tcW w:w="13994" w:type="dxa"/>
            <w:gridSpan w:val="5"/>
            <w:shd w:val="clear" w:color="auto" w:fill="A6A6A6" w:themeFill="background1" w:themeFillShade="A6"/>
          </w:tcPr>
          <w:p w14:paraId="24A9AEDA" w14:textId="5134C805" w:rsidR="00C41BB0" w:rsidRPr="00D54DB1" w:rsidRDefault="00C41BB0" w:rsidP="00C41BB0">
            <w:pPr>
              <w:spacing w:before="120" w:after="120"/>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Uwagi do uzasadnienia projektu</w:t>
            </w:r>
          </w:p>
        </w:tc>
      </w:tr>
      <w:tr w:rsidR="00C41BB0" w:rsidRPr="00322BC5" w14:paraId="2156F658" w14:textId="77777777" w:rsidTr="00C51680">
        <w:trPr>
          <w:jc w:val="center"/>
        </w:trPr>
        <w:tc>
          <w:tcPr>
            <w:tcW w:w="561" w:type="dxa"/>
          </w:tcPr>
          <w:p w14:paraId="79AAA3D9" w14:textId="3DE50848" w:rsidR="00C41BB0" w:rsidRPr="00B919AF" w:rsidRDefault="00C41BB0" w:rsidP="00C41BB0">
            <w:pPr>
              <w:spacing w:before="120"/>
              <w:ind w:right="-534"/>
              <w:rPr>
                <w:rFonts w:ascii="Times New Roman" w:hAnsi="Times New Roman" w:cs="Times New Roman"/>
                <w:b/>
                <w:sz w:val="20"/>
              </w:rPr>
            </w:pPr>
            <w:r>
              <w:rPr>
                <w:rFonts w:ascii="Times New Roman" w:hAnsi="Times New Roman" w:cs="Times New Roman"/>
                <w:b/>
                <w:sz w:val="20"/>
              </w:rPr>
              <w:t>1.</w:t>
            </w:r>
          </w:p>
        </w:tc>
        <w:tc>
          <w:tcPr>
            <w:tcW w:w="1841" w:type="dxa"/>
            <w:vAlign w:val="center"/>
          </w:tcPr>
          <w:p w14:paraId="225CC122" w14:textId="77777777" w:rsidR="00C41BB0" w:rsidRDefault="00C41BB0" w:rsidP="00C41BB0">
            <w:pPr>
              <w:spacing w:before="120" w:after="120"/>
              <w:jc w:val="center"/>
              <w:rPr>
                <w:rFonts w:ascii="Times New Roman" w:hAnsi="Times New Roman" w:cs="Times New Roman"/>
                <w:sz w:val="20"/>
              </w:rPr>
            </w:pPr>
          </w:p>
        </w:tc>
        <w:tc>
          <w:tcPr>
            <w:tcW w:w="1883" w:type="dxa"/>
            <w:vAlign w:val="center"/>
          </w:tcPr>
          <w:p w14:paraId="5B69EE39" w14:textId="77777777" w:rsidR="00C41BB0" w:rsidRDefault="00C41BB0" w:rsidP="00C41BB0">
            <w:pPr>
              <w:spacing w:before="120" w:after="120"/>
              <w:jc w:val="center"/>
              <w:rPr>
                <w:rFonts w:ascii="Times New Roman" w:hAnsi="Times New Roman" w:cs="Times New Roman"/>
                <w:sz w:val="20"/>
              </w:rPr>
            </w:pPr>
          </w:p>
        </w:tc>
        <w:tc>
          <w:tcPr>
            <w:tcW w:w="5653" w:type="dxa"/>
            <w:vAlign w:val="center"/>
          </w:tcPr>
          <w:p w14:paraId="09E4D561" w14:textId="77777777" w:rsidR="00C41BB0" w:rsidRPr="00322BC5" w:rsidRDefault="00C41BB0" w:rsidP="00C41BB0">
            <w:pPr>
              <w:ind w:firstLine="708"/>
              <w:jc w:val="center"/>
              <w:rPr>
                <w:rFonts w:ascii="Times New Roman" w:eastAsia="Times New Roman" w:hAnsi="Times New Roman" w:cs="Times New Roman"/>
                <w:sz w:val="20"/>
                <w:szCs w:val="20"/>
                <w:lang w:eastAsia="pl-PL"/>
              </w:rPr>
            </w:pPr>
          </w:p>
        </w:tc>
        <w:tc>
          <w:tcPr>
            <w:tcW w:w="4056" w:type="dxa"/>
          </w:tcPr>
          <w:p w14:paraId="2ADAA775" w14:textId="77777777" w:rsidR="00C41BB0" w:rsidRPr="00322BC5" w:rsidRDefault="00C41BB0" w:rsidP="00C41BB0">
            <w:pPr>
              <w:spacing w:before="120" w:after="120"/>
              <w:jc w:val="center"/>
              <w:rPr>
                <w:rFonts w:ascii="Times New Roman" w:eastAsia="Times New Roman" w:hAnsi="Times New Roman" w:cs="Times New Roman"/>
                <w:sz w:val="20"/>
                <w:szCs w:val="20"/>
                <w:lang w:eastAsia="pl-PL"/>
              </w:rPr>
            </w:pPr>
          </w:p>
        </w:tc>
      </w:tr>
      <w:tr w:rsidR="00C41BB0" w:rsidRPr="00322BC5" w14:paraId="62827CBE" w14:textId="77777777" w:rsidTr="00B919AF">
        <w:trPr>
          <w:jc w:val="center"/>
        </w:trPr>
        <w:tc>
          <w:tcPr>
            <w:tcW w:w="13994" w:type="dxa"/>
            <w:gridSpan w:val="5"/>
            <w:shd w:val="clear" w:color="auto" w:fill="A6A6A6" w:themeFill="background1" w:themeFillShade="A6"/>
          </w:tcPr>
          <w:p w14:paraId="6DD01354" w14:textId="00E3688E" w:rsidR="00C41BB0" w:rsidRPr="00322BC5" w:rsidRDefault="00C41BB0" w:rsidP="00C41BB0">
            <w:pPr>
              <w:spacing w:before="120" w:after="120"/>
              <w:jc w:val="center"/>
              <w:rPr>
                <w:rFonts w:ascii="Times New Roman" w:eastAsia="Times New Roman" w:hAnsi="Times New Roman" w:cs="Times New Roman"/>
                <w:sz w:val="20"/>
                <w:szCs w:val="20"/>
                <w:lang w:eastAsia="pl-PL"/>
              </w:rPr>
            </w:pPr>
            <w:r>
              <w:rPr>
                <w:rFonts w:ascii="Times New Roman" w:hAnsi="Times New Roman" w:cs="Times New Roman"/>
                <w:b/>
                <w:bCs/>
                <w:color w:val="000000" w:themeColor="text1"/>
                <w:sz w:val="24"/>
                <w:szCs w:val="24"/>
              </w:rPr>
              <w:t>Uwagi do Oceny Skutków Regulacji</w:t>
            </w:r>
          </w:p>
        </w:tc>
      </w:tr>
      <w:tr w:rsidR="00C41BB0" w:rsidRPr="00322BC5" w14:paraId="70AF4D21" w14:textId="77777777" w:rsidTr="00C51680">
        <w:tblPrEx>
          <w:jc w:val="left"/>
        </w:tblPrEx>
        <w:tc>
          <w:tcPr>
            <w:tcW w:w="561" w:type="dxa"/>
          </w:tcPr>
          <w:p w14:paraId="2A511012" w14:textId="182C5783" w:rsidR="00C41BB0" w:rsidRPr="00B919AF" w:rsidRDefault="00C41BB0" w:rsidP="00C41BB0">
            <w:pPr>
              <w:spacing w:before="120"/>
              <w:ind w:right="-534"/>
              <w:rPr>
                <w:rFonts w:ascii="Times New Roman" w:hAnsi="Times New Roman" w:cs="Times New Roman"/>
                <w:b/>
                <w:sz w:val="20"/>
              </w:rPr>
            </w:pPr>
            <w:r>
              <w:rPr>
                <w:rFonts w:ascii="Times New Roman" w:hAnsi="Times New Roman" w:cs="Times New Roman"/>
                <w:b/>
                <w:sz w:val="20"/>
              </w:rPr>
              <w:t>1.</w:t>
            </w:r>
          </w:p>
        </w:tc>
        <w:tc>
          <w:tcPr>
            <w:tcW w:w="1841" w:type="dxa"/>
          </w:tcPr>
          <w:p w14:paraId="02E25544" w14:textId="44060D13" w:rsidR="00C41BB0" w:rsidRDefault="00C41BB0" w:rsidP="00C41BB0">
            <w:pPr>
              <w:spacing w:before="120" w:after="120"/>
              <w:jc w:val="center"/>
              <w:rPr>
                <w:rFonts w:ascii="Times New Roman" w:hAnsi="Times New Roman" w:cs="Times New Roman"/>
                <w:sz w:val="20"/>
              </w:rPr>
            </w:pPr>
            <w:r>
              <w:rPr>
                <w:rFonts w:ascii="Times New Roman" w:hAnsi="Times New Roman" w:cs="Times New Roman"/>
                <w:sz w:val="20"/>
              </w:rPr>
              <w:t>GUGiK</w:t>
            </w:r>
          </w:p>
        </w:tc>
        <w:tc>
          <w:tcPr>
            <w:tcW w:w="1883" w:type="dxa"/>
          </w:tcPr>
          <w:p w14:paraId="2E8F090D" w14:textId="77777777" w:rsidR="00C41BB0" w:rsidRPr="0019403C" w:rsidRDefault="00C41BB0" w:rsidP="00C41BB0">
            <w:pPr>
              <w:spacing w:before="120" w:after="120"/>
              <w:rPr>
                <w:rFonts w:ascii="Times New Roman" w:hAnsi="Times New Roman" w:cs="Times New Roman"/>
                <w:sz w:val="18"/>
              </w:rPr>
            </w:pPr>
            <w:r w:rsidRPr="0019403C">
              <w:rPr>
                <w:rFonts w:ascii="Times New Roman" w:hAnsi="Times New Roman" w:cs="Times New Roman"/>
                <w:sz w:val="18"/>
              </w:rPr>
              <w:t xml:space="preserve">Pkt 6 OSR </w:t>
            </w:r>
          </w:p>
          <w:p w14:paraId="405AF670" w14:textId="77777777" w:rsidR="00C41BB0" w:rsidRPr="0019403C" w:rsidRDefault="00C41BB0" w:rsidP="00C41BB0">
            <w:pPr>
              <w:spacing w:before="120" w:after="120"/>
              <w:rPr>
                <w:rFonts w:ascii="Times New Roman" w:hAnsi="Times New Roman" w:cs="Times New Roman"/>
                <w:i/>
                <w:color w:val="0000FF"/>
                <w:sz w:val="18"/>
              </w:rPr>
            </w:pPr>
            <w:r w:rsidRPr="0019403C">
              <w:rPr>
                <w:rFonts w:ascii="Times New Roman" w:hAnsi="Times New Roman" w:cs="Times New Roman"/>
                <w:i/>
                <w:color w:val="0000FF"/>
                <w:sz w:val="18"/>
              </w:rPr>
              <w:t xml:space="preserve">”(…) Umożliwienie sądom pozyskiwania </w:t>
            </w:r>
            <w:r w:rsidRPr="0019403C">
              <w:rPr>
                <w:rFonts w:ascii="Times New Roman" w:hAnsi="Times New Roman" w:cs="Times New Roman"/>
                <w:i/>
                <w:color w:val="0000FF"/>
                <w:sz w:val="18"/>
              </w:rPr>
              <w:lastRenderedPageBreak/>
              <w:t>tych danych w postępowaniach nieprocesowych może</w:t>
            </w:r>
            <w:r w:rsidRPr="0019403C">
              <w:rPr>
                <w:rFonts w:ascii="Times New Roman" w:hAnsi="Times New Roman" w:cs="Times New Roman"/>
                <w:b/>
                <w:i/>
                <w:color w:val="0000FF"/>
                <w:sz w:val="18"/>
              </w:rPr>
              <w:t xml:space="preserve"> w niewielkim stopniu</w:t>
            </w:r>
            <w:r w:rsidRPr="0019403C">
              <w:rPr>
                <w:rFonts w:ascii="Times New Roman" w:hAnsi="Times New Roman" w:cs="Times New Roman"/>
                <w:i/>
                <w:color w:val="0000FF"/>
                <w:sz w:val="18"/>
              </w:rPr>
              <w:t xml:space="preserve"> spowodować uszczuplenie dochodów jednostek samorządu terytorialnego.”</w:t>
            </w:r>
          </w:p>
          <w:p w14:paraId="3FEDB332" w14:textId="7CAD01CC" w:rsidR="00C41BB0" w:rsidRDefault="00C41BB0" w:rsidP="00C41BB0">
            <w:pPr>
              <w:spacing w:before="120" w:after="120"/>
              <w:jc w:val="center"/>
              <w:rPr>
                <w:rFonts w:ascii="Times New Roman" w:hAnsi="Times New Roman" w:cs="Times New Roman"/>
                <w:sz w:val="20"/>
              </w:rPr>
            </w:pPr>
            <w:r w:rsidRPr="0019403C">
              <w:rPr>
                <w:rFonts w:ascii="Times New Roman" w:hAnsi="Times New Roman" w:cs="Times New Roman"/>
                <w:i/>
                <w:color w:val="0000FF"/>
                <w:sz w:val="18"/>
              </w:rPr>
              <w:t>„(…)Łączne uszczuplenie dochodów jednostek samorządu terytorialnego można oszacować maksymalnie na około 145 mln zł rocznie, przy przyjęciu, że sądy będą pozyskiwać przedmiotowe dane samodzielnie we wszystkich prowadzonych sprawach, co uznać należy za wątpliwe.</w:t>
            </w:r>
          </w:p>
        </w:tc>
        <w:tc>
          <w:tcPr>
            <w:tcW w:w="5653" w:type="dxa"/>
          </w:tcPr>
          <w:p w14:paraId="1E3BA015" w14:textId="77777777" w:rsidR="00C41BB0" w:rsidRPr="0019403C" w:rsidRDefault="00C41BB0" w:rsidP="00C41BB0">
            <w:pPr>
              <w:jc w:val="both"/>
              <w:rPr>
                <w:rFonts w:ascii="Times New Roman" w:eastAsia="Times New Roman" w:hAnsi="Times New Roman" w:cs="Times New Roman"/>
                <w:sz w:val="20"/>
                <w:lang w:eastAsia="pl-PL"/>
              </w:rPr>
            </w:pPr>
            <w:r w:rsidRPr="0019403C">
              <w:rPr>
                <w:rFonts w:ascii="Times New Roman" w:eastAsia="Times New Roman" w:hAnsi="Times New Roman" w:cs="Times New Roman"/>
                <w:b/>
                <w:sz w:val="20"/>
                <w:lang w:eastAsia="pl-PL"/>
              </w:rPr>
              <w:lastRenderedPageBreak/>
              <w:t xml:space="preserve">Zapisy OSR są ze sobą sprzeczne. </w:t>
            </w:r>
            <w:r w:rsidRPr="0019403C">
              <w:rPr>
                <w:rFonts w:ascii="Times New Roman" w:eastAsia="Times New Roman" w:hAnsi="Times New Roman" w:cs="Times New Roman"/>
                <w:sz w:val="20"/>
                <w:lang w:eastAsia="pl-PL"/>
              </w:rPr>
              <w:t xml:space="preserve">OSR wskazuje, że umożliwienie sądom pozyskiwania danych z ewidencji gruntów i budynków w niewielkim stopniu może uszczuplić dochody jednostek samorządu terytorialnego po czym w dalszej części OSR wskazano, że łączne </w:t>
            </w:r>
            <w:r w:rsidRPr="0019403C">
              <w:rPr>
                <w:rFonts w:ascii="Times New Roman" w:eastAsia="Times New Roman" w:hAnsi="Times New Roman" w:cs="Times New Roman"/>
                <w:sz w:val="20"/>
                <w:lang w:eastAsia="pl-PL"/>
              </w:rPr>
              <w:lastRenderedPageBreak/>
              <w:t>uszczuplenie dochodów jednostek samorządu terytorialnego można oszacować maksymalnie na około 145 mln zł rocznie.</w:t>
            </w:r>
          </w:p>
          <w:p w14:paraId="70790431" w14:textId="77777777" w:rsidR="00C41BB0" w:rsidRPr="0019403C" w:rsidRDefault="00C41BB0" w:rsidP="00C41BB0">
            <w:pPr>
              <w:jc w:val="both"/>
              <w:rPr>
                <w:rFonts w:ascii="Times New Roman" w:eastAsia="Times New Roman" w:hAnsi="Times New Roman" w:cs="Times New Roman"/>
                <w:b/>
                <w:sz w:val="20"/>
                <w:lang w:eastAsia="pl-PL"/>
              </w:rPr>
            </w:pPr>
            <w:r w:rsidRPr="0019403C">
              <w:rPr>
                <w:rFonts w:ascii="Times New Roman" w:eastAsia="Times New Roman" w:hAnsi="Times New Roman" w:cs="Times New Roman"/>
                <w:b/>
                <w:sz w:val="20"/>
                <w:lang w:eastAsia="pl-PL"/>
              </w:rPr>
              <w:t>W związku z tym proponowane zmiany mogą spowodować bardzo duże zmniejszenie dochodów powiatów, na co wskazują chociażby kwoty wskazane w tabeli w pkt 6 OSR.</w:t>
            </w:r>
          </w:p>
          <w:p w14:paraId="6DA2BF56" w14:textId="77777777" w:rsidR="00C41BB0" w:rsidRPr="0019403C" w:rsidRDefault="00C41BB0" w:rsidP="00C41BB0">
            <w:pPr>
              <w:jc w:val="both"/>
              <w:rPr>
                <w:rFonts w:ascii="Times New Roman" w:eastAsia="Times New Roman" w:hAnsi="Times New Roman" w:cs="Times New Roman"/>
                <w:b/>
                <w:sz w:val="20"/>
                <w:u w:val="single"/>
                <w:lang w:eastAsia="pl-PL"/>
              </w:rPr>
            </w:pPr>
            <w:r w:rsidRPr="0019403C">
              <w:rPr>
                <w:rFonts w:ascii="Times New Roman" w:eastAsia="Times New Roman" w:hAnsi="Times New Roman" w:cs="Times New Roman"/>
                <w:b/>
                <w:sz w:val="20"/>
                <w:u w:val="single"/>
                <w:lang w:eastAsia="pl-PL"/>
              </w:rPr>
              <w:t>Nie wskazano też sposobu rekompensaty utraconych wpływów jednostkom samorządu terytorialnego.</w:t>
            </w:r>
          </w:p>
          <w:p w14:paraId="1D00666D" w14:textId="77777777" w:rsidR="00C41BB0" w:rsidRPr="00322BC5" w:rsidRDefault="00C41BB0" w:rsidP="00C41BB0">
            <w:pPr>
              <w:ind w:firstLine="708"/>
              <w:jc w:val="center"/>
              <w:rPr>
                <w:rFonts w:ascii="Times New Roman" w:eastAsia="Times New Roman" w:hAnsi="Times New Roman" w:cs="Times New Roman"/>
                <w:sz w:val="20"/>
                <w:szCs w:val="20"/>
                <w:lang w:eastAsia="pl-PL"/>
              </w:rPr>
            </w:pPr>
          </w:p>
        </w:tc>
        <w:tc>
          <w:tcPr>
            <w:tcW w:w="4056" w:type="dxa"/>
          </w:tcPr>
          <w:p w14:paraId="592ADC45" w14:textId="0A414F04" w:rsidR="00C41BB0" w:rsidRDefault="00C87548" w:rsidP="00C87548">
            <w:pPr>
              <w:jc w:val="both"/>
              <w:rPr>
                <w:rFonts w:ascii="Times New Roman" w:eastAsia="Times New Roman" w:hAnsi="Times New Roman" w:cs="Times New Roman"/>
                <w:b/>
                <w:bCs/>
                <w:sz w:val="20"/>
                <w:szCs w:val="20"/>
                <w:lang w:eastAsia="pl-PL"/>
              </w:rPr>
            </w:pPr>
            <w:r w:rsidRPr="00C87548">
              <w:rPr>
                <w:rFonts w:ascii="Times New Roman" w:eastAsia="Times New Roman" w:hAnsi="Times New Roman" w:cs="Times New Roman"/>
                <w:b/>
                <w:bCs/>
                <w:sz w:val="20"/>
                <w:szCs w:val="20"/>
                <w:lang w:eastAsia="pl-PL"/>
              </w:rPr>
              <w:lastRenderedPageBreak/>
              <w:t>Wyjaśnienie</w:t>
            </w:r>
          </w:p>
          <w:p w14:paraId="0680F285" w14:textId="77777777" w:rsidR="00393C8B" w:rsidRDefault="00393C8B" w:rsidP="00C87548">
            <w:pPr>
              <w:jc w:val="both"/>
              <w:rPr>
                <w:rFonts w:ascii="Times New Roman" w:eastAsia="Times New Roman" w:hAnsi="Times New Roman" w:cs="Times New Roman"/>
                <w:b/>
                <w:bCs/>
                <w:sz w:val="20"/>
                <w:szCs w:val="20"/>
                <w:lang w:eastAsia="pl-PL"/>
              </w:rPr>
            </w:pPr>
          </w:p>
          <w:p w14:paraId="5C512140" w14:textId="77777777" w:rsidR="00C87548" w:rsidRDefault="00C87548" w:rsidP="00C87548">
            <w:pPr>
              <w:pStyle w:val="Default"/>
              <w:jc w:val="both"/>
              <w:rPr>
                <w:sz w:val="20"/>
                <w:szCs w:val="20"/>
              </w:rPr>
            </w:pPr>
            <w:r w:rsidRPr="00F45436">
              <w:rPr>
                <w:sz w:val="20"/>
                <w:szCs w:val="20"/>
              </w:rPr>
              <w:t xml:space="preserve">Sądy nie będą zwolnione z opłat za pobranie dokumentów w postaci wypisu lub wyrysu z </w:t>
            </w:r>
            <w:r w:rsidRPr="00F45436">
              <w:rPr>
                <w:sz w:val="20"/>
                <w:szCs w:val="20"/>
              </w:rPr>
              <w:lastRenderedPageBreak/>
              <w:t>ewidencji gruntów i budynków. Sądy obecnie są zwolnione od tej opłaty jedynie w sytuacji, gdy stroną jest Skarb Państwa. W innych przypadkach opłatę uiszczają. Tej zasady projekt nie zmienia. Sądy będą uiszczały opłatę tak, jak dotychczas. Projekt nie ingeruje w przepisy o opłatach za wydanie wypisu i wyrysu z tego rejestru.</w:t>
            </w:r>
          </w:p>
          <w:p w14:paraId="3366253C" w14:textId="74B1843C" w:rsidR="00C87548" w:rsidRPr="00C87548" w:rsidRDefault="00C87548" w:rsidP="00C87548">
            <w:pPr>
              <w:spacing w:after="120"/>
              <w:jc w:val="both"/>
              <w:rPr>
                <w:rFonts w:ascii="Times New Roman" w:eastAsia="Times New Roman" w:hAnsi="Times New Roman" w:cs="Times New Roman"/>
                <w:b/>
                <w:bCs/>
                <w:sz w:val="20"/>
                <w:szCs w:val="20"/>
                <w:lang w:eastAsia="pl-PL"/>
              </w:rPr>
            </w:pPr>
          </w:p>
        </w:tc>
      </w:tr>
    </w:tbl>
    <w:p w14:paraId="3263BA22" w14:textId="77777777" w:rsidR="009A3389" w:rsidRPr="00FF4480" w:rsidRDefault="009A3389" w:rsidP="00E738A5">
      <w:pPr>
        <w:spacing w:line="240" w:lineRule="auto"/>
        <w:rPr>
          <w:rFonts w:ascii="Times New Roman" w:hAnsi="Times New Roman" w:cs="Times New Roman"/>
        </w:rPr>
      </w:pPr>
    </w:p>
    <w:sectPr w:rsidR="009A3389" w:rsidRPr="00FF4480" w:rsidSect="001F3A0F">
      <w:headerReference w:type="default" r:id="rId10"/>
      <w:footerReference w:type="defaul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42D3B" w14:textId="77777777" w:rsidR="00135A47" w:rsidRDefault="00135A47" w:rsidP="00735AA5">
      <w:pPr>
        <w:spacing w:after="0" w:line="240" w:lineRule="auto"/>
      </w:pPr>
      <w:r>
        <w:separator/>
      </w:r>
    </w:p>
  </w:endnote>
  <w:endnote w:type="continuationSeparator" w:id="0">
    <w:p w14:paraId="135829F4" w14:textId="77777777" w:rsidR="00135A47" w:rsidRDefault="00135A47" w:rsidP="00735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rPr>
      <w:id w:val="451909213"/>
      <w:docPartObj>
        <w:docPartGallery w:val="Page Numbers (Bottom of Page)"/>
        <w:docPartUnique/>
      </w:docPartObj>
    </w:sdtPr>
    <w:sdtEndPr/>
    <w:sdtContent>
      <w:p w14:paraId="3D1313F4" w14:textId="77777777" w:rsidR="000B346A" w:rsidRPr="000B346A" w:rsidRDefault="00E738A5">
        <w:pPr>
          <w:pStyle w:val="Stopka"/>
          <w:jc w:val="right"/>
          <w:rPr>
            <w:rFonts w:ascii="Arial" w:hAnsi="Arial" w:cs="Arial"/>
            <w:sz w:val="18"/>
          </w:rPr>
        </w:pPr>
        <w:r>
          <w:rPr>
            <w:rFonts w:ascii="Arial" w:hAnsi="Arial" w:cs="Arial"/>
            <w:sz w:val="18"/>
          </w:rPr>
          <w:t>S</w:t>
        </w:r>
        <w:r w:rsidR="000B346A" w:rsidRPr="000B346A">
          <w:rPr>
            <w:rFonts w:ascii="Arial" w:hAnsi="Arial" w:cs="Arial"/>
            <w:sz w:val="18"/>
          </w:rPr>
          <w:t xml:space="preserve">trona | </w:t>
        </w:r>
        <w:r w:rsidR="000B346A" w:rsidRPr="000B346A">
          <w:rPr>
            <w:rFonts w:ascii="Arial" w:hAnsi="Arial" w:cs="Arial"/>
            <w:sz w:val="18"/>
          </w:rPr>
          <w:fldChar w:fldCharType="begin"/>
        </w:r>
        <w:r w:rsidR="000B346A" w:rsidRPr="000B346A">
          <w:rPr>
            <w:rFonts w:ascii="Arial" w:hAnsi="Arial" w:cs="Arial"/>
            <w:sz w:val="18"/>
          </w:rPr>
          <w:instrText>PAGE   \* MERGEFORMAT</w:instrText>
        </w:r>
        <w:r w:rsidR="000B346A" w:rsidRPr="000B346A">
          <w:rPr>
            <w:rFonts w:ascii="Arial" w:hAnsi="Arial" w:cs="Arial"/>
            <w:sz w:val="18"/>
          </w:rPr>
          <w:fldChar w:fldCharType="separate"/>
        </w:r>
        <w:r w:rsidR="00E23A7D">
          <w:rPr>
            <w:rFonts w:ascii="Arial" w:hAnsi="Arial" w:cs="Arial"/>
            <w:noProof/>
            <w:sz w:val="18"/>
          </w:rPr>
          <w:t>1</w:t>
        </w:r>
        <w:r w:rsidR="000B346A" w:rsidRPr="000B346A">
          <w:rPr>
            <w:rFonts w:ascii="Arial" w:hAnsi="Arial" w:cs="Arial"/>
            <w:sz w:val="18"/>
          </w:rPr>
          <w:fldChar w:fldCharType="end"/>
        </w:r>
        <w:r w:rsidR="000B346A" w:rsidRPr="000B346A">
          <w:rPr>
            <w:rFonts w:ascii="Arial" w:hAnsi="Arial" w:cs="Arial"/>
            <w:sz w:val="18"/>
          </w:rPr>
          <w:t xml:space="preserve"> </w:t>
        </w:r>
      </w:p>
    </w:sdtContent>
  </w:sdt>
  <w:p w14:paraId="1FF13A2E" w14:textId="77777777" w:rsidR="00735AA5" w:rsidRDefault="00735A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C5F6D" w14:textId="77777777" w:rsidR="00135A47" w:rsidRDefault="00135A47" w:rsidP="00735AA5">
      <w:pPr>
        <w:spacing w:after="0" w:line="240" w:lineRule="auto"/>
      </w:pPr>
      <w:r>
        <w:separator/>
      </w:r>
    </w:p>
  </w:footnote>
  <w:footnote w:type="continuationSeparator" w:id="0">
    <w:p w14:paraId="4402B54D" w14:textId="77777777" w:rsidR="00135A47" w:rsidRDefault="00135A47" w:rsidP="00735AA5">
      <w:pPr>
        <w:spacing w:after="0" w:line="240" w:lineRule="auto"/>
      </w:pPr>
      <w:r>
        <w:continuationSeparator/>
      </w:r>
    </w:p>
  </w:footnote>
  <w:footnote w:id="1">
    <w:p w14:paraId="4565B8E2" w14:textId="3B0339AA" w:rsidR="003E733B" w:rsidRDefault="003E733B">
      <w:pPr>
        <w:pStyle w:val="Tekstprzypisudolnego"/>
      </w:pPr>
      <w:r>
        <w:rPr>
          <w:rStyle w:val="Odwoanieprzypisudolnego"/>
        </w:rPr>
        <w:footnoteRef/>
      </w:r>
      <w:r>
        <w:t xml:space="preserve"> Zmiany wymienionego rozporządzenia zostały ogłoszone w Dz. Urz. UE L 127 z 23.05.2018, str. 2 oraz Dz. Urz. UE L 74 z 4.03.2021, str. 35.</w:t>
      </w:r>
    </w:p>
  </w:footnote>
  <w:footnote w:id="2">
    <w:p w14:paraId="56FC8D4B" w14:textId="0E4EAF01" w:rsidR="002F02D7" w:rsidRDefault="002F02D7">
      <w:pPr>
        <w:pStyle w:val="Tekstprzypisudolnego"/>
      </w:pPr>
      <w:r>
        <w:rPr>
          <w:rStyle w:val="Odwoanieprzypisudolnego"/>
        </w:rPr>
        <w:footnoteRef/>
      </w:r>
      <w:r>
        <w:t xml:space="preserve"> Wyrok Trybunału (trzecia izba) z dnia 1 października 2014 r.(wniosek o wydanie orzeczenia w trybie prejudycjalnym złożony przez Curtea de Apel Cluj - Rumunia) - Smaranda Bara i in./Casa Naţională de Asigurări de Sănătate, Preș edintele Casei Naț ionale de Asigurări de Sănătate, Agenţia Naţională de Administrare Fiscală (ANAF).</w:t>
      </w:r>
    </w:p>
  </w:footnote>
  <w:footnote w:id="3">
    <w:p w14:paraId="2553CECE" w14:textId="6F593250" w:rsidR="002F02D7" w:rsidRDefault="002F02D7">
      <w:pPr>
        <w:pStyle w:val="Tekstprzypisudolnego"/>
      </w:pPr>
      <w:r>
        <w:rPr>
          <w:rStyle w:val="Odwoanieprzypisudolnego"/>
        </w:rPr>
        <w:footnoteRef/>
      </w:r>
      <w:r>
        <w:t xml:space="preserve"> Zgodnie z art 25 ust. 1 rozporządzenia 2016/679 uwzględniając stan wiedzy technicznej, koszt wdrażania oraz charakter, zakres, kontekst i cele przetwarzania oraz ryzyko naruszenia praw lub wolności osób fizycznych o różnym prawdopodobieństwie wystąpienia i wadze wynikające z przetwarzania, administrator – zarówno przy określaniu sposobów przetwarzania, jak i w czasie samego przetwarzania – wdraża odpowiednie środki techniczne i organizacyjne, takie jak pseudonimizacja, zaprojektowane w celu skutecznej realizacji zasad ochrony danych, takich jak minimalizacja danych, oraz w celu nadania przetwarzaniu niezbędnych zabezpieczeń, tak by spełnić wymogi niniejszego rozporządzenia oraz chronić prawa osób, których dane dotyczą.</w:t>
      </w:r>
    </w:p>
  </w:footnote>
  <w:footnote w:id="4">
    <w:p w14:paraId="7E9AEC67" w14:textId="3FB69599" w:rsidR="002F02D7" w:rsidRDefault="002F02D7">
      <w:pPr>
        <w:pStyle w:val="Tekstprzypisudolnego"/>
      </w:pPr>
      <w:r>
        <w:rPr>
          <w:rStyle w:val="Odwoanieprzypisudolnego"/>
        </w:rPr>
        <w:footnoteRef/>
      </w:r>
      <w:r>
        <w:t xml:space="preserve"> Zgodnie z art. 35 ust. 1 rozporządzenia 2016/679 jeżeli dany rodzaj przetwarzania – w szczególności z użyciem nowych technologii – ze względu na swój charakter, zakres, kontekst i cele z dużym prawdopodobieństwem może powodować wysokie ryzyko naruszenia praw lub wolności osób fizycznych, administrator przed rozpoczęciem przetwarzania dokonuje oceny skutków planowanych operacji przetwarzania dla ochrony danych osobowych. Dla podobnych operacji przetwarzania danych wiążących się z podobnym wysokim ryzykiem można przeprowadzić pojedynczą ocenę. 5 Zgodnie z art. 35 ust</w:t>
      </w:r>
    </w:p>
  </w:footnote>
  <w:footnote w:id="5">
    <w:p w14:paraId="21DEE2A2" w14:textId="05B0F1E7" w:rsidR="002F02D7" w:rsidRDefault="002F02D7">
      <w:pPr>
        <w:pStyle w:val="Tekstprzypisudolnego"/>
      </w:pPr>
      <w:r>
        <w:rPr>
          <w:rStyle w:val="Odwoanieprzypisudolnego"/>
        </w:rPr>
        <w:footnoteRef/>
      </w:r>
      <w:r>
        <w:t xml:space="preserve"> Zgodnie z art. 35 ust. 10 rozporządzenia 2016/679 ust. 1–7 nie mają zastosowania, jeżeli przetwarzanie na mocy art. 6 ust. 1 lit. c) lub e) ma podstawę prawną w prawie Unii lub w prawie państwa członkowskiego, któremu podlega administrator, i prawo takie reguluje daną operację przetwarzania lub zestaw operacji, a oceny skutków dla ochrony danych dokonano już w ramach oceny skutków regulacji w związku z przyjęciem tej podstawy prawnej – chyba że państwa członkowskie uznają za niezbędne, by przed podjęciem czynności przetwarzania dokonać oceny skutków dla ochrony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jc w:val="center"/>
      <w:tblLook w:val="04A0" w:firstRow="1" w:lastRow="0" w:firstColumn="1" w:lastColumn="0" w:noHBand="0" w:noVBand="1"/>
    </w:tblPr>
    <w:tblGrid>
      <w:gridCol w:w="553"/>
      <w:gridCol w:w="1912"/>
      <w:gridCol w:w="1857"/>
      <w:gridCol w:w="5558"/>
      <w:gridCol w:w="4114"/>
    </w:tblGrid>
    <w:tr w:rsidR="00136551" w:rsidRPr="00FF4480" w14:paraId="25235B4B" w14:textId="77777777" w:rsidTr="00CF31A7">
      <w:trPr>
        <w:trHeight w:val="592"/>
        <w:jc w:val="center"/>
      </w:trPr>
      <w:tc>
        <w:tcPr>
          <w:tcW w:w="554" w:type="dxa"/>
          <w:vAlign w:val="center"/>
        </w:tcPr>
        <w:p w14:paraId="3079F5C1" w14:textId="77777777" w:rsidR="00136551" w:rsidRPr="00FF4480" w:rsidRDefault="00136551" w:rsidP="00136551">
          <w:pPr>
            <w:jc w:val="center"/>
            <w:rPr>
              <w:rFonts w:ascii="Times New Roman" w:hAnsi="Times New Roman" w:cs="Times New Roman"/>
              <w:sz w:val="20"/>
            </w:rPr>
          </w:pPr>
          <w:r w:rsidRPr="00FF4480">
            <w:rPr>
              <w:rFonts w:ascii="Times New Roman" w:hAnsi="Times New Roman" w:cs="Times New Roman"/>
              <w:b/>
              <w:sz w:val="20"/>
            </w:rPr>
            <w:t>Lp</w:t>
          </w:r>
          <w:r w:rsidRPr="00FF4480">
            <w:rPr>
              <w:rFonts w:ascii="Times New Roman" w:hAnsi="Times New Roman" w:cs="Times New Roman"/>
              <w:sz w:val="20"/>
            </w:rPr>
            <w:t>.</w:t>
          </w:r>
        </w:p>
      </w:tc>
      <w:tc>
        <w:tcPr>
          <w:tcW w:w="1931" w:type="dxa"/>
          <w:vAlign w:val="center"/>
        </w:tcPr>
        <w:p w14:paraId="51D5B69E" w14:textId="77777777" w:rsidR="00136551" w:rsidRPr="00FF4480" w:rsidRDefault="00136551" w:rsidP="00136551">
          <w:pPr>
            <w:spacing w:after="60"/>
            <w:jc w:val="center"/>
            <w:rPr>
              <w:rFonts w:ascii="Times New Roman" w:hAnsi="Times New Roman" w:cs="Times New Roman"/>
              <w:b/>
              <w:bCs/>
              <w:sz w:val="20"/>
            </w:rPr>
          </w:pPr>
          <w:r w:rsidRPr="00FF4480">
            <w:rPr>
              <w:rFonts w:ascii="Times New Roman" w:hAnsi="Times New Roman" w:cs="Times New Roman"/>
              <w:b/>
              <w:bCs/>
              <w:sz w:val="20"/>
            </w:rPr>
            <w:t>Podmiot zgłaszający</w:t>
          </w:r>
          <w:r>
            <w:rPr>
              <w:rFonts w:ascii="Times New Roman" w:hAnsi="Times New Roman" w:cs="Times New Roman"/>
              <w:b/>
              <w:bCs/>
              <w:sz w:val="20"/>
            </w:rPr>
            <w:t xml:space="preserve"> uwagę</w:t>
          </w:r>
        </w:p>
      </w:tc>
      <w:tc>
        <w:tcPr>
          <w:tcW w:w="1876" w:type="dxa"/>
          <w:vAlign w:val="center"/>
        </w:tcPr>
        <w:p w14:paraId="0ECBAC82" w14:textId="77777777" w:rsidR="00136551" w:rsidRPr="00E738A5" w:rsidRDefault="00136551" w:rsidP="00136551">
          <w:pPr>
            <w:jc w:val="center"/>
            <w:rPr>
              <w:rFonts w:ascii="Times New Roman" w:hAnsi="Times New Roman" w:cs="Times New Roman"/>
              <w:sz w:val="16"/>
              <w:szCs w:val="16"/>
            </w:rPr>
          </w:pPr>
          <w:r w:rsidRPr="00E738A5">
            <w:rPr>
              <w:rFonts w:ascii="Times New Roman" w:hAnsi="Times New Roman" w:cs="Times New Roman"/>
              <w:b/>
              <w:bCs/>
              <w:sz w:val="16"/>
              <w:szCs w:val="16"/>
            </w:rPr>
            <w:t xml:space="preserve">Jednostka redakcyjna </w:t>
          </w:r>
          <w:r w:rsidRPr="00E738A5">
            <w:rPr>
              <w:rFonts w:ascii="Times New Roman" w:hAnsi="Times New Roman" w:cs="Times New Roman"/>
              <w:b/>
              <w:bCs/>
              <w:sz w:val="16"/>
              <w:szCs w:val="16"/>
            </w:rPr>
            <w:br/>
            <w:t>Str</w:t>
          </w:r>
          <w:r w:rsidR="00963B6A">
            <w:rPr>
              <w:rFonts w:ascii="Times New Roman" w:hAnsi="Times New Roman" w:cs="Times New Roman"/>
              <w:b/>
              <w:bCs/>
              <w:sz w:val="16"/>
              <w:szCs w:val="16"/>
            </w:rPr>
            <w:t>ona</w:t>
          </w:r>
          <w:r w:rsidRPr="00E738A5">
            <w:rPr>
              <w:rFonts w:ascii="Times New Roman" w:hAnsi="Times New Roman" w:cs="Times New Roman"/>
              <w:b/>
              <w:bCs/>
              <w:sz w:val="16"/>
              <w:szCs w:val="16"/>
            </w:rPr>
            <w:t xml:space="preserve"> uzasadnienia</w:t>
          </w:r>
          <w:r>
            <w:rPr>
              <w:rFonts w:ascii="Times New Roman" w:hAnsi="Times New Roman" w:cs="Times New Roman"/>
              <w:b/>
              <w:bCs/>
              <w:sz w:val="16"/>
              <w:szCs w:val="16"/>
            </w:rPr>
            <w:br/>
          </w:r>
          <w:r w:rsidRPr="00E738A5">
            <w:rPr>
              <w:rFonts w:ascii="Times New Roman" w:hAnsi="Times New Roman" w:cs="Times New Roman"/>
              <w:b/>
              <w:bCs/>
              <w:sz w:val="16"/>
              <w:szCs w:val="16"/>
            </w:rPr>
            <w:t>Pkt OSR</w:t>
          </w:r>
        </w:p>
      </w:tc>
      <w:tc>
        <w:tcPr>
          <w:tcW w:w="5670" w:type="dxa"/>
          <w:vAlign w:val="center"/>
        </w:tcPr>
        <w:p w14:paraId="36A5BA4A" w14:textId="77777777" w:rsidR="00136551" w:rsidRPr="00E35677" w:rsidRDefault="00136551" w:rsidP="00136551">
          <w:pPr>
            <w:jc w:val="center"/>
            <w:rPr>
              <w:rFonts w:ascii="Times New Roman" w:hAnsi="Times New Roman" w:cs="Times New Roman"/>
              <w:sz w:val="20"/>
            </w:rPr>
          </w:pPr>
          <w:r>
            <w:rPr>
              <w:rFonts w:ascii="Times New Roman" w:hAnsi="Times New Roman" w:cs="Times New Roman"/>
              <w:b/>
              <w:bCs/>
              <w:sz w:val="20"/>
            </w:rPr>
            <w:t>Treść uwagi / Propozycja zapisu</w:t>
          </w:r>
        </w:p>
      </w:tc>
      <w:tc>
        <w:tcPr>
          <w:tcW w:w="4189" w:type="dxa"/>
        </w:tcPr>
        <w:p w14:paraId="0EE8722A" w14:textId="77777777" w:rsidR="00136551" w:rsidRDefault="00136551" w:rsidP="00136551">
          <w:pPr>
            <w:jc w:val="center"/>
            <w:rPr>
              <w:rFonts w:ascii="Times New Roman" w:hAnsi="Times New Roman" w:cs="Times New Roman"/>
              <w:b/>
              <w:bCs/>
              <w:i/>
              <w:sz w:val="20"/>
            </w:rPr>
          </w:pPr>
        </w:p>
        <w:p w14:paraId="06708177" w14:textId="5FB44390" w:rsidR="00136551" w:rsidRPr="00E35677" w:rsidRDefault="00136551" w:rsidP="00136551">
          <w:pPr>
            <w:jc w:val="center"/>
            <w:rPr>
              <w:rFonts w:ascii="Times New Roman" w:hAnsi="Times New Roman" w:cs="Times New Roman"/>
              <w:b/>
              <w:bCs/>
              <w:sz w:val="20"/>
            </w:rPr>
          </w:pPr>
          <w:r>
            <w:rPr>
              <w:rFonts w:ascii="Times New Roman" w:hAnsi="Times New Roman" w:cs="Times New Roman"/>
              <w:b/>
              <w:bCs/>
              <w:sz w:val="20"/>
            </w:rPr>
            <w:t xml:space="preserve">Stanowisko </w:t>
          </w:r>
          <w:r w:rsidR="003514BB">
            <w:rPr>
              <w:rFonts w:ascii="Times New Roman" w:hAnsi="Times New Roman" w:cs="Times New Roman"/>
              <w:b/>
              <w:bCs/>
              <w:sz w:val="20"/>
            </w:rPr>
            <w:t>MS</w:t>
          </w:r>
        </w:p>
      </w:tc>
    </w:tr>
  </w:tbl>
  <w:p w14:paraId="58721467" w14:textId="77777777" w:rsidR="00136551" w:rsidRDefault="0013655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F4422"/>
    <w:multiLevelType w:val="hybridMultilevel"/>
    <w:tmpl w:val="1EA4D2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DB3421"/>
    <w:multiLevelType w:val="hybridMultilevel"/>
    <w:tmpl w:val="3F3C3062"/>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1F69C8"/>
    <w:multiLevelType w:val="hybridMultilevel"/>
    <w:tmpl w:val="401489DE"/>
    <w:lvl w:ilvl="0" w:tplc="2408B1AA">
      <w:start w:val="2"/>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3" w15:restartNumberingAfterBreak="0">
    <w:nsid w:val="102E7131"/>
    <w:multiLevelType w:val="hybridMultilevel"/>
    <w:tmpl w:val="BAF4D542"/>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4" w15:restartNumberingAfterBreak="0">
    <w:nsid w:val="15772F5C"/>
    <w:multiLevelType w:val="hybridMultilevel"/>
    <w:tmpl w:val="62AA7BF8"/>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5" w15:restartNumberingAfterBreak="0">
    <w:nsid w:val="1784680D"/>
    <w:multiLevelType w:val="hybridMultilevel"/>
    <w:tmpl w:val="2BB4171C"/>
    <w:lvl w:ilvl="0" w:tplc="BAE6A3BE">
      <w:start w:val="1"/>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6" w15:restartNumberingAfterBreak="0">
    <w:nsid w:val="1BAA7682"/>
    <w:multiLevelType w:val="hybridMultilevel"/>
    <w:tmpl w:val="641275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484FB4"/>
    <w:multiLevelType w:val="hybridMultilevel"/>
    <w:tmpl w:val="49FA505E"/>
    <w:lvl w:ilvl="0" w:tplc="8B141934">
      <w:start w:val="20"/>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8" w15:restartNumberingAfterBreak="0">
    <w:nsid w:val="2035363E"/>
    <w:multiLevelType w:val="hybridMultilevel"/>
    <w:tmpl w:val="BAF4D542"/>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9" w15:restartNumberingAfterBreak="0">
    <w:nsid w:val="331572DA"/>
    <w:multiLevelType w:val="hybridMultilevel"/>
    <w:tmpl w:val="BDA056DE"/>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0" w15:restartNumberingAfterBreak="0">
    <w:nsid w:val="416D46F4"/>
    <w:multiLevelType w:val="hybridMultilevel"/>
    <w:tmpl w:val="91BEBE32"/>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1" w15:restartNumberingAfterBreak="0">
    <w:nsid w:val="42F74FD3"/>
    <w:multiLevelType w:val="hybridMultilevel"/>
    <w:tmpl w:val="BAF4D542"/>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2" w15:restartNumberingAfterBreak="0">
    <w:nsid w:val="47FE1204"/>
    <w:multiLevelType w:val="hybridMultilevel"/>
    <w:tmpl w:val="CC04722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49A45834"/>
    <w:multiLevelType w:val="multilevel"/>
    <w:tmpl w:val="082E21AE"/>
    <w:lvl w:ilvl="0">
      <w:start w:val="1"/>
      <w:numFmt w:val="decimal"/>
      <w:lvlText w:val="%1)"/>
      <w:lvlJc w:val="left"/>
      <w:pPr>
        <w:ind w:left="36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4" w15:restartNumberingAfterBreak="0">
    <w:nsid w:val="4C3D7A92"/>
    <w:multiLevelType w:val="hybridMultilevel"/>
    <w:tmpl w:val="A7086286"/>
    <w:lvl w:ilvl="0" w:tplc="81422714">
      <w:start w:val="1"/>
      <w:numFmt w:val="decimal"/>
      <w:lvlText w:val="%1)"/>
      <w:lvlJc w:val="left"/>
      <w:pPr>
        <w:ind w:left="870" w:hanging="360"/>
      </w:pPr>
      <w:rPr>
        <w:rFonts w:cs="Times New Roman"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5" w15:restartNumberingAfterBreak="0">
    <w:nsid w:val="4D2C5E34"/>
    <w:multiLevelType w:val="hybridMultilevel"/>
    <w:tmpl w:val="EE0A94B4"/>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6" w15:restartNumberingAfterBreak="0">
    <w:nsid w:val="4EC052B0"/>
    <w:multiLevelType w:val="hybridMultilevel"/>
    <w:tmpl w:val="1F14AFD0"/>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7" w15:restartNumberingAfterBreak="0">
    <w:nsid w:val="53DD0B2E"/>
    <w:multiLevelType w:val="hybridMultilevel"/>
    <w:tmpl w:val="6C7EC008"/>
    <w:lvl w:ilvl="0" w:tplc="0415000F">
      <w:start w:val="1"/>
      <w:numFmt w:val="decimal"/>
      <w:lvlText w:val="%1."/>
      <w:lvlJc w:val="left"/>
      <w:pPr>
        <w:ind w:left="64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A800F7F"/>
    <w:multiLevelType w:val="hybridMultilevel"/>
    <w:tmpl w:val="EE0A94B4"/>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9" w15:restartNumberingAfterBreak="0">
    <w:nsid w:val="6C7109D4"/>
    <w:multiLevelType w:val="hybridMultilevel"/>
    <w:tmpl w:val="F4C82F44"/>
    <w:lvl w:ilvl="0" w:tplc="BBC653A2">
      <w:start w:val="1"/>
      <w:numFmt w:val="decimal"/>
      <w:lvlText w:val="%1)"/>
      <w:lvlJc w:val="left"/>
      <w:pPr>
        <w:ind w:left="321" w:hanging="360"/>
      </w:pPr>
      <w:rPr>
        <w:rFonts w:hint="default"/>
        <w:color w:val="000000" w:themeColor="text1"/>
      </w:rPr>
    </w:lvl>
    <w:lvl w:ilvl="1" w:tplc="04150019" w:tentative="1">
      <w:start w:val="1"/>
      <w:numFmt w:val="lowerLetter"/>
      <w:lvlText w:val="%2."/>
      <w:lvlJc w:val="left"/>
      <w:pPr>
        <w:ind w:left="1041" w:hanging="360"/>
      </w:pPr>
    </w:lvl>
    <w:lvl w:ilvl="2" w:tplc="0415001B" w:tentative="1">
      <w:start w:val="1"/>
      <w:numFmt w:val="lowerRoman"/>
      <w:lvlText w:val="%3."/>
      <w:lvlJc w:val="right"/>
      <w:pPr>
        <w:ind w:left="1761" w:hanging="180"/>
      </w:pPr>
    </w:lvl>
    <w:lvl w:ilvl="3" w:tplc="0415000F" w:tentative="1">
      <w:start w:val="1"/>
      <w:numFmt w:val="decimal"/>
      <w:lvlText w:val="%4."/>
      <w:lvlJc w:val="left"/>
      <w:pPr>
        <w:ind w:left="2481" w:hanging="360"/>
      </w:pPr>
    </w:lvl>
    <w:lvl w:ilvl="4" w:tplc="04150019" w:tentative="1">
      <w:start w:val="1"/>
      <w:numFmt w:val="lowerLetter"/>
      <w:lvlText w:val="%5."/>
      <w:lvlJc w:val="left"/>
      <w:pPr>
        <w:ind w:left="3201" w:hanging="360"/>
      </w:pPr>
    </w:lvl>
    <w:lvl w:ilvl="5" w:tplc="0415001B" w:tentative="1">
      <w:start w:val="1"/>
      <w:numFmt w:val="lowerRoman"/>
      <w:lvlText w:val="%6."/>
      <w:lvlJc w:val="right"/>
      <w:pPr>
        <w:ind w:left="3921" w:hanging="180"/>
      </w:pPr>
    </w:lvl>
    <w:lvl w:ilvl="6" w:tplc="0415000F" w:tentative="1">
      <w:start w:val="1"/>
      <w:numFmt w:val="decimal"/>
      <w:lvlText w:val="%7."/>
      <w:lvlJc w:val="left"/>
      <w:pPr>
        <w:ind w:left="4641" w:hanging="360"/>
      </w:pPr>
    </w:lvl>
    <w:lvl w:ilvl="7" w:tplc="04150019" w:tentative="1">
      <w:start w:val="1"/>
      <w:numFmt w:val="lowerLetter"/>
      <w:lvlText w:val="%8."/>
      <w:lvlJc w:val="left"/>
      <w:pPr>
        <w:ind w:left="5361" w:hanging="360"/>
      </w:pPr>
    </w:lvl>
    <w:lvl w:ilvl="8" w:tplc="0415001B" w:tentative="1">
      <w:start w:val="1"/>
      <w:numFmt w:val="lowerRoman"/>
      <w:lvlText w:val="%9."/>
      <w:lvlJc w:val="right"/>
      <w:pPr>
        <w:ind w:left="6081" w:hanging="180"/>
      </w:pPr>
    </w:lvl>
  </w:abstractNum>
  <w:abstractNum w:abstractNumId="20" w15:restartNumberingAfterBreak="0">
    <w:nsid w:val="703E54E6"/>
    <w:multiLevelType w:val="hybridMultilevel"/>
    <w:tmpl w:val="1F14AFD0"/>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21" w15:restartNumberingAfterBreak="0">
    <w:nsid w:val="72253848"/>
    <w:multiLevelType w:val="hybridMultilevel"/>
    <w:tmpl w:val="8F10F6AE"/>
    <w:lvl w:ilvl="0" w:tplc="C7B04F10">
      <w:start w:val="2"/>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22" w15:restartNumberingAfterBreak="0">
    <w:nsid w:val="764744B3"/>
    <w:multiLevelType w:val="hybridMultilevel"/>
    <w:tmpl w:val="363600DC"/>
    <w:lvl w:ilvl="0" w:tplc="FF98001A">
      <w:start w:val="1"/>
      <w:numFmt w:val="decimal"/>
      <w:lvlText w:val="%1)"/>
      <w:lvlJc w:val="left"/>
      <w:pPr>
        <w:ind w:left="405" w:hanging="360"/>
      </w:pPr>
      <w:rPr>
        <w:rFonts w:hint="default"/>
        <w:u w:val="none"/>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23" w15:restartNumberingAfterBreak="0">
    <w:nsid w:val="7B47264F"/>
    <w:multiLevelType w:val="hybridMultilevel"/>
    <w:tmpl w:val="222087AA"/>
    <w:lvl w:ilvl="0" w:tplc="0415000F">
      <w:start w:val="1"/>
      <w:numFmt w:val="decimal"/>
      <w:lvlText w:val="%1."/>
      <w:lvlJc w:val="left"/>
      <w:pPr>
        <w:ind w:left="64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EC81B9E"/>
    <w:multiLevelType w:val="hybridMultilevel"/>
    <w:tmpl w:val="DAFC9EEA"/>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num w:numId="1" w16cid:durableId="2001883991">
    <w:abstractNumId w:val="5"/>
  </w:num>
  <w:num w:numId="2" w16cid:durableId="1451895900">
    <w:abstractNumId w:val="7"/>
  </w:num>
  <w:num w:numId="3" w16cid:durableId="732584722">
    <w:abstractNumId w:val="21"/>
  </w:num>
  <w:num w:numId="4" w16cid:durableId="903611775">
    <w:abstractNumId w:val="2"/>
  </w:num>
  <w:num w:numId="5" w16cid:durableId="1035229025">
    <w:abstractNumId w:val="22"/>
  </w:num>
  <w:num w:numId="6" w16cid:durableId="1666935809">
    <w:abstractNumId w:val="19"/>
  </w:num>
  <w:num w:numId="7" w16cid:durableId="412165739">
    <w:abstractNumId w:val="0"/>
  </w:num>
  <w:num w:numId="8" w16cid:durableId="982929784">
    <w:abstractNumId w:val="1"/>
  </w:num>
  <w:num w:numId="9" w16cid:durableId="710148716">
    <w:abstractNumId w:val="17"/>
  </w:num>
  <w:num w:numId="10" w16cid:durableId="1452624972">
    <w:abstractNumId w:val="9"/>
  </w:num>
  <w:num w:numId="11" w16cid:durableId="1513258276">
    <w:abstractNumId w:val="24"/>
  </w:num>
  <w:num w:numId="12" w16cid:durableId="688214727">
    <w:abstractNumId w:val="23"/>
  </w:num>
  <w:num w:numId="13" w16cid:durableId="1193155186">
    <w:abstractNumId w:val="18"/>
  </w:num>
  <w:num w:numId="14" w16cid:durableId="62608770">
    <w:abstractNumId w:val="15"/>
  </w:num>
  <w:num w:numId="15" w16cid:durableId="747113530">
    <w:abstractNumId w:val="10"/>
  </w:num>
  <w:num w:numId="16" w16cid:durableId="1495339862">
    <w:abstractNumId w:val="4"/>
  </w:num>
  <w:num w:numId="17" w16cid:durableId="284770959">
    <w:abstractNumId w:val="13"/>
  </w:num>
  <w:num w:numId="18" w16cid:durableId="143738633">
    <w:abstractNumId w:val="14"/>
  </w:num>
  <w:num w:numId="19" w16cid:durableId="5326039">
    <w:abstractNumId w:val="11"/>
  </w:num>
  <w:num w:numId="20" w16cid:durableId="1280451397">
    <w:abstractNumId w:val="8"/>
  </w:num>
  <w:num w:numId="21" w16cid:durableId="853425070">
    <w:abstractNumId w:val="3"/>
  </w:num>
  <w:num w:numId="22" w16cid:durableId="1792673822">
    <w:abstractNumId w:val="20"/>
  </w:num>
  <w:num w:numId="23" w16cid:durableId="240145069">
    <w:abstractNumId w:val="16"/>
  </w:num>
  <w:num w:numId="24" w16cid:durableId="1910001131">
    <w:abstractNumId w:val="6"/>
  </w:num>
  <w:num w:numId="25" w16cid:durableId="3690389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157"/>
    <w:rsid w:val="000002F3"/>
    <w:rsid w:val="0001501B"/>
    <w:rsid w:val="000153D6"/>
    <w:rsid w:val="000161F5"/>
    <w:rsid w:val="00017F99"/>
    <w:rsid w:val="0002291B"/>
    <w:rsid w:val="00024ADB"/>
    <w:rsid w:val="000361E2"/>
    <w:rsid w:val="00044F5C"/>
    <w:rsid w:val="000548CD"/>
    <w:rsid w:val="000566FC"/>
    <w:rsid w:val="000662BB"/>
    <w:rsid w:val="00084004"/>
    <w:rsid w:val="00084817"/>
    <w:rsid w:val="00084A2A"/>
    <w:rsid w:val="00085E2E"/>
    <w:rsid w:val="000911E2"/>
    <w:rsid w:val="00091F2A"/>
    <w:rsid w:val="000A32E5"/>
    <w:rsid w:val="000B1157"/>
    <w:rsid w:val="000B346A"/>
    <w:rsid w:val="000C00BA"/>
    <w:rsid w:val="000C2E71"/>
    <w:rsid w:val="000D210B"/>
    <w:rsid w:val="000D3780"/>
    <w:rsid w:val="000D5B0B"/>
    <w:rsid w:val="000F2A3F"/>
    <w:rsid w:val="001146C0"/>
    <w:rsid w:val="001237C3"/>
    <w:rsid w:val="00134ACC"/>
    <w:rsid w:val="00135A47"/>
    <w:rsid w:val="001361B5"/>
    <w:rsid w:val="00136551"/>
    <w:rsid w:val="00140448"/>
    <w:rsid w:val="00141978"/>
    <w:rsid w:val="00151C2E"/>
    <w:rsid w:val="00160BD7"/>
    <w:rsid w:val="00167C74"/>
    <w:rsid w:val="00177EC3"/>
    <w:rsid w:val="00186B6F"/>
    <w:rsid w:val="00187E3D"/>
    <w:rsid w:val="00190C60"/>
    <w:rsid w:val="0019322F"/>
    <w:rsid w:val="00193AB3"/>
    <w:rsid w:val="001963A9"/>
    <w:rsid w:val="001D136A"/>
    <w:rsid w:val="001E01AE"/>
    <w:rsid w:val="001F0431"/>
    <w:rsid w:val="001F3A0F"/>
    <w:rsid w:val="001F4958"/>
    <w:rsid w:val="001F51B9"/>
    <w:rsid w:val="0020383B"/>
    <w:rsid w:val="00211E49"/>
    <w:rsid w:val="0022526C"/>
    <w:rsid w:val="00242233"/>
    <w:rsid w:val="0024476B"/>
    <w:rsid w:val="002527A8"/>
    <w:rsid w:val="00252F32"/>
    <w:rsid w:val="002662EA"/>
    <w:rsid w:val="00271B94"/>
    <w:rsid w:val="002724CC"/>
    <w:rsid w:val="00274F1E"/>
    <w:rsid w:val="0028475B"/>
    <w:rsid w:val="00286D6A"/>
    <w:rsid w:val="002936DB"/>
    <w:rsid w:val="002968CB"/>
    <w:rsid w:val="002A081D"/>
    <w:rsid w:val="002A0BF2"/>
    <w:rsid w:val="002A11F8"/>
    <w:rsid w:val="002A3F06"/>
    <w:rsid w:val="002A6ED8"/>
    <w:rsid w:val="002B517C"/>
    <w:rsid w:val="002C46ED"/>
    <w:rsid w:val="002C53B8"/>
    <w:rsid w:val="002E0918"/>
    <w:rsid w:val="002E7ACF"/>
    <w:rsid w:val="002F02D7"/>
    <w:rsid w:val="002F302C"/>
    <w:rsid w:val="00322BC5"/>
    <w:rsid w:val="003243F9"/>
    <w:rsid w:val="0033797A"/>
    <w:rsid w:val="003462B1"/>
    <w:rsid w:val="003465AD"/>
    <w:rsid w:val="003514BB"/>
    <w:rsid w:val="00352061"/>
    <w:rsid w:val="003565A1"/>
    <w:rsid w:val="003573B1"/>
    <w:rsid w:val="003706A6"/>
    <w:rsid w:val="0037097D"/>
    <w:rsid w:val="00393C8B"/>
    <w:rsid w:val="00394115"/>
    <w:rsid w:val="003A3C83"/>
    <w:rsid w:val="003A430E"/>
    <w:rsid w:val="003C1000"/>
    <w:rsid w:val="003D1CAB"/>
    <w:rsid w:val="003D3285"/>
    <w:rsid w:val="003D7D21"/>
    <w:rsid w:val="003E5D74"/>
    <w:rsid w:val="003E733B"/>
    <w:rsid w:val="003F0432"/>
    <w:rsid w:val="003F148E"/>
    <w:rsid w:val="003F2ED2"/>
    <w:rsid w:val="00400E97"/>
    <w:rsid w:val="0040319B"/>
    <w:rsid w:val="00414EA2"/>
    <w:rsid w:val="00443077"/>
    <w:rsid w:val="00452E52"/>
    <w:rsid w:val="004577CA"/>
    <w:rsid w:val="00462F0E"/>
    <w:rsid w:val="00481B0E"/>
    <w:rsid w:val="00493077"/>
    <w:rsid w:val="004977F7"/>
    <w:rsid w:val="004A28E0"/>
    <w:rsid w:val="004B1553"/>
    <w:rsid w:val="004B1644"/>
    <w:rsid w:val="004B4C70"/>
    <w:rsid w:val="004C0492"/>
    <w:rsid w:val="004D55DA"/>
    <w:rsid w:val="004E0816"/>
    <w:rsid w:val="004E7994"/>
    <w:rsid w:val="004F5F18"/>
    <w:rsid w:val="0050045E"/>
    <w:rsid w:val="005040BC"/>
    <w:rsid w:val="005054C0"/>
    <w:rsid w:val="0051434B"/>
    <w:rsid w:val="00515E79"/>
    <w:rsid w:val="00537F4C"/>
    <w:rsid w:val="005418E2"/>
    <w:rsid w:val="00545CD3"/>
    <w:rsid w:val="00546A59"/>
    <w:rsid w:val="005471C2"/>
    <w:rsid w:val="00550EAD"/>
    <w:rsid w:val="00555265"/>
    <w:rsid w:val="0057151E"/>
    <w:rsid w:val="00572BE2"/>
    <w:rsid w:val="005756BE"/>
    <w:rsid w:val="00576D40"/>
    <w:rsid w:val="005837F8"/>
    <w:rsid w:val="0058530C"/>
    <w:rsid w:val="00592953"/>
    <w:rsid w:val="005A2FE0"/>
    <w:rsid w:val="005A7AD5"/>
    <w:rsid w:val="005B7511"/>
    <w:rsid w:val="005C23F7"/>
    <w:rsid w:val="005C644D"/>
    <w:rsid w:val="005D29F2"/>
    <w:rsid w:val="005D442D"/>
    <w:rsid w:val="005D5F08"/>
    <w:rsid w:val="00602CEE"/>
    <w:rsid w:val="00611583"/>
    <w:rsid w:val="006156DE"/>
    <w:rsid w:val="00621334"/>
    <w:rsid w:val="006354CF"/>
    <w:rsid w:val="006375BD"/>
    <w:rsid w:val="00640785"/>
    <w:rsid w:val="00644344"/>
    <w:rsid w:val="00650A66"/>
    <w:rsid w:val="00650E16"/>
    <w:rsid w:val="006669AD"/>
    <w:rsid w:val="0067271E"/>
    <w:rsid w:val="00674BCF"/>
    <w:rsid w:val="006771BA"/>
    <w:rsid w:val="00682C1C"/>
    <w:rsid w:val="0069368F"/>
    <w:rsid w:val="006B214C"/>
    <w:rsid w:val="006B4F64"/>
    <w:rsid w:val="006B742B"/>
    <w:rsid w:val="006C2BC9"/>
    <w:rsid w:val="006C42B2"/>
    <w:rsid w:val="006C6358"/>
    <w:rsid w:val="006C7994"/>
    <w:rsid w:val="006D0AE4"/>
    <w:rsid w:val="006E3E8F"/>
    <w:rsid w:val="006F0D7B"/>
    <w:rsid w:val="006F1155"/>
    <w:rsid w:val="006F6137"/>
    <w:rsid w:val="007018E8"/>
    <w:rsid w:val="00730C35"/>
    <w:rsid w:val="00735AA5"/>
    <w:rsid w:val="00741A58"/>
    <w:rsid w:val="00742660"/>
    <w:rsid w:val="00743C05"/>
    <w:rsid w:val="00751B0F"/>
    <w:rsid w:val="00756A51"/>
    <w:rsid w:val="0076077D"/>
    <w:rsid w:val="007653FF"/>
    <w:rsid w:val="00766F26"/>
    <w:rsid w:val="00791FE5"/>
    <w:rsid w:val="007936CA"/>
    <w:rsid w:val="007A5F2B"/>
    <w:rsid w:val="007A627A"/>
    <w:rsid w:val="007A7EE2"/>
    <w:rsid w:val="007B1BB1"/>
    <w:rsid w:val="007C0526"/>
    <w:rsid w:val="007C2560"/>
    <w:rsid w:val="007D0B00"/>
    <w:rsid w:val="007E4CBE"/>
    <w:rsid w:val="007F39C0"/>
    <w:rsid w:val="0080306F"/>
    <w:rsid w:val="008065E7"/>
    <w:rsid w:val="00814CE9"/>
    <w:rsid w:val="008203CF"/>
    <w:rsid w:val="00830132"/>
    <w:rsid w:val="00831113"/>
    <w:rsid w:val="0083519A"/>
    <w:rsid w:val="00852D75"/>
    <w:rsid w:val="008531D9"/>
    <w:rsid w:val="00865AF4"/>
    <w:rsid w:val="008842F2"/>
    <w:rsid w:val="008854DC"/>
    <w:rsid w:val="008911D0"/>
    <w:rsid w:val="008B7796"/>
    <w:rsid w:val="008D7600"/>
    <w:rsid w:val="008E3179"/>
    <w:rsid w:val="008F244E"/>
    <w:rsid w:val="00925F56"/>
    <w:rsid w:val="00933852"/>
    <w:rsid w:val="00941156"/>
    <w:rsid w:val="009532CB"/>
    <w:rsid w:val="00954430"/>
    <w:rsid w:val="00954DA6"/>
    <w:rsid w:val="00956281"/>
    <w:rsid w:val="00957335"/>
    <w:rsid w:val="00963B6A"/>
    <w:rsid w:val="009672B1"/>
    <w:rsid w:val="00970171"/>
    <w:rsid w:val="009743F9"/>
    <w:rsid w:val="009768E8"/>
    <w:rsid w:val="00983A14"/>
    <w:rsid w:val="009923E7"/>
    <w:rsid w:val="009A3389"/>
    <w:rsid w:val="009A5060"/>
    <w:rsid w:val="009C39F6"/>
    <w:rsid w:val="009C45A9"/>
    <w:rsid w:val="009D02A7"/>
    <w:rsid w:val="009D18BA"/>
    <w:rsid w:val="009D30E0"/>
    <w:rsid w:val="009D37DC"/>
    <w:rsid w:val="009D4953"/>
    <w:rsid w:val="00A07BB6"/>
    <w:rsid w:val="00A11E28"/>
    <w:rsid w:val="00A1326C"/>
    <w:rsid w:val="00A3318A"/>
    <w:rsid w:val="00A407A4"/>
    <w:rsid w:val="00A53CBC"/>
    <w:rsid w:val="00A54D23"/>
    <w:rsid w:val="00A56797"/>
    <w:rsid w:val="00A61639"/>
    <w:rsid w:val="00A64143"/>
    <w:rsid w:val="00A65542"/>
    <w:rsid w:val="00A76B0F"/>
    <w:rsid w:val="00A90657"/>
    <w:rsid w:val="00A92454"/>
    <w:rsid w:val="00AA318F"/>
    <w:rsid w:val="00AA3456"/>
    <w:rsid w:val="00AC0365"/>
    <w:rsid w:val="00AC0E42"/>
    <w:rsid w:val="00AD2E3B"/>
    <w:rsid w:val="00AF2DCB"/>
    <w:rsid w:val="00AF5CDF"/>
    <w:rsid w:val="00B0008C"/>
    <w:rsid w:val="00B0068C"/>
    <w:rsid w:val="00B03A96"/>
    <w:rsid w:val="00B0487A"/>
    <w:rsid w:val="00B15F59"/>
    <w:rsid w:val="00B165E5"/>
    <w:rsid w:val="00B241C8"/>
    <w:rsid w:val="00B3322F"/>
    <w:rsid w:val="00B4688A"/>
    <w:rsid w:val="00B510A0"/>
    <w:rsid w:val="00B54306"/>
    <w:rsid w:val="00B6038D"/>
    <w:rsid w:val="00B72216"/>
    <w:rsid w:val="00B809BB"/>
    <w:rsid w:val="00B8203A"/>
    <w:rsid w:val="00B919AF"/>
    <w:rsid w:val="00B936C2"/>
    <w:rsid w:val="00B96435"/>
    <w:rsid w:val="00BA173B"/>
    <w:rsid w:val="00BA785D"/>
    <w:rsid w:val="00BB1190"/>
    <w:rsid w:val="00BB2FF9"/>
    <w:rsid w:val="00BB363F"/>
    <w:rsid w:val="00BD1AB7"/>
    <w:rsid w:val="00BD6AA6"/>
    <w:rsid w:val="00C14830"/>
    <w:rsid w:val="00C14B5D"/>
    <w:rsid w:val="00C2074A"/>
    <w:rsid w:val="00C21C45"/>
    <w:rsid w:val="00C22A1F"/>
    <w:rsid w:val="00C30452"/>
    <w:rsid w:val="00C408BD"/>
    <w:rsid w:val="00C41BB0"/>
    <w:rsid w:val="00C471DC"/>
    <w:rsid w:val="00C51680"/>
    <w:rsid w:val="00C531C2"/>
    <w:rsid w:val="00C60BA3"/>
    <w:rsid w:val="00C63F1E"/>
    <w:rsid w:val="00C70BF5"/>
    <w:rsid w:val="00C71CAF"/>
    <w:rsid w:val="00C87548"/>
    <w:rsid w:val="00C972A5"/>
    <w:rsid w:val="00CA2A44"/>
    <w:rsid w:val="00CB5636"/>
    <w:rsid w:val="00CC65D3"/>
    <w:rsid w:val="00CD6CAA"/>
    <w:rsid w:val="00CE3975"/>
    <w:rsid w:val="00CE5444"/>
    <w:rsid w:val="00CE590D"/>
    <w:rsid w:val="00CE6906"/>
    <w:rsid w:val="00CE74C5"/>
    <w:rsid w:val="00CF5320"/>
    <w:rsid w:val="00D014F7"/>
    <w:rsid w:val="00D02157"/>
    <w:rsid w:val="00D067CA"/>
    <w:rsid w:val="00D11479"/>
    <w:rsid w:val="00D23483"/>
    <w:rsid w:val="00D34082"/>
    <w:rsid w:val="00D345DF"/>
    <w:rsid w:val="00D376B1"/>
    <w:rsid w:val="00D46319"/>
    <w:rsid w:val="00D53619"/>
    <w:rsid w:val="00D54DB1"/>
    <w:rsid w:val="00D575C0"/>
    <w:rsid w:val="00D64733"/>
    <w:rsid w:val="00D75ACA"/>
    <w:rsid w:val="00D95599"/>
    <w:rsid w:val="00DA7AB3"/>
    <w:rsid w:val="00DC4396"/>
    <w:rsid w:val="00DC53ED"/>
    <w:rsid w:val="00DE186F"/>
    <w:rsid w:val="00E1573E"/>
    <w:rsid w:val="00E232F1"/>
    <w:rsid w:val="00E23A7D"/>
    <w:rsid w:val="00E23F26"/>
    <w:rsid w:val="00E2744F"/>
    <w:rsid w:val="00E35677"/>
    <w:rsid w:val="00E3630E"/>
    <w:rsid w:val="00E41725"/>
    <w:rsid w:val="00E418E8"/>
    <w:rsid w:val="00E45467"/>
    <w:rsid w:val="00E511EC"/>
    <w:rsid w:val="00E64FC4"/>
    <w:rsid w:val="00E67BF3"/>
    <w:rsid w:val="00E7267B"/>
    <w:rsid w:val="00E738A5"/>
    <w:rsid w:val="00E75014"/>
    <w:rsid w:val="00E7699F"/>
    <w:rsid w:val="00E92DC4"/>
    <w:rsid w:val="00EB2E3E"/>
    <w:rsid w:val="00EB3D0E"/>
    <w:rsid w:val="00EB5B1E"/>
    <w:rsid w:val="00EC33A8"/>
    <w:rsid w:val="00EC7543"/>
    <w:rsid w:val="00EF1487"/>
    <w:rsid w:val="00EF3099"/>
    <w:rsid w:val="00EF3211"/>
    <w:rsid w:val="00EF5181"/>
    <w:rsid w:val="00F02D0E"/>
    <w:rsid w:val="00F10E5E"/>
    <w:rsid w:val="00F11CBF"/>
    <w:rsid w:val="00F20E8A"/>
    <w:rsid w:val="00F35DDF"/>
    <w:rsid w:val="00F420A0"/>
    <w:rsid w:val="00F4537A"/>
    <w:rsid w:val="00F466C4"/>
    <w:rsid w:val="00F46BB7"/>
    <w:rsid w:val="00F73229"/>
    <w:rsid w:val="00F745F6"/>
    <w:rsid w:val="00F80086"/>
    <w:rsid w:val="00F81237"/>
    <w:rsid w:val="00FA251F"/>
    <w:rsid w:val="00FA47E1"/>
    <w:rsid w:val="00FA71C0"/>
    <w:rsid w:val="00FB07E7"/>
    <w:rsid w:val="00FB387A"/>
    <w:rsid w:val="00FD21E7"/>
    <w:rsid w:val="00FD42A3"/>
    <w:rsid w:val="00FD481C"/>
    <w:rsid w:val="00FD4AAB"/>
    <w:rsid w:val="00FD7445"/>
    <w:rsid w:val="00FD7CD5"/>
    <w:rsid w:val="00FE3A17"/>
    <w:rsid w:val="00FF0E71"/>
    <w:rsid w:val="00FF2888"/>
    <w:rsid w:val="00FF381F"/>
    <w:rsid w:val="00FF4480"/>
    <w:rsid w:val="00FF5B67"/>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AAD5C"/>
  <w15:docId w15:val="{D585241F-67E6-4E3E-BD64-3CB70F73F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4A28E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77E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706A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06A6"/>
    <w:rPr>
      <w:rFonts w:ascii="Tahoma" w:hAnsi="Tahoma" w:cs="Tahoma"/>
      <w:sz w:val="16"/>
      <w:szCs w:val="16"/>
    </w:rPr>
  </w:style>
  <w:style w:type="paragraph" w:customStyle="1" w:styleId="TYTUAKTUprzedmiotregulacjiustawylubrozporzdzenia">
    <w:name w:val="TYTUŁ_AKTU – przedmiot regulacji ustawy lub rozporządzenia"/>
    <w:next w:val="Normalny"/>
    <w:uiPriority w:val="6"/>
    <w:qFormat/>
    <w:rsid w:val="003706A6"/>
    <w:pPr>
      <w:keepNext/>
      <w:suppressAutoHyphens/>
      <w:spacing w:before="120" w:after="360" w:line="360" w:lineRule="auto"/>
      <w:jc w:val="center"/>
    </w:pPr>
    <w:rPr>
      <w:rFonts w:ascii="Times" w:eastAsia="Times New Roman" w:hAnsi="Times" w:cs="Arial"/>
      <w:b/>
      <w:bCs/>
      <w:sz w:val="24"/>
      <w:szCs w:val="24"/>
      <w:lang w:eastAsia="pl-PL"/>
    </w:rPr>
  </w:style>
  <w:style w:type="paragraph" w:customStyle="1" w:styleId="ARTartustawynprozporzdzenia">
    <w:name w:val="ART(§) – art. ustawy (§ np. rozporządzenia)"/>
    <w:uiPriority w:val="11"/>
    <w:qFormat/>
    <w:rsid w:val="00983A14"/>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PKTpunkt">
    <w:name w:val="PKT – punkt"/>
    <w:uiPriority w:val="13"/>
    <w:qFormat/>
    <w:rsid w:val="00983A14"/>
    <w:pPr>
      <w:spacing w:after="0" w:line="360" w:lineRule="auto"/>
      <w:ind w:left="510" w:hanging="510"/>
      <w:jc w:val="both"/>
    </w:pPr>
    <w:rPr>
      <w:rFonts w:ascii="Times" w:eastAsia="Times New Roman" w:hAnsi="Times" w:cs="Arial"/>
      <w:bCs/>
      <w:sz w:val="24"/>
      <w:szCs w:val="20"/>
      <w:lang w:eastAsia="pl-PL"/>
    </w:rPr>
  </w:style>
  <w:style w:type="character" w:styleId="Odwoaniedokomentarza">
    <w:name w:val="annotation reference"/>
    <w:uiPriority w:val="99"/>
    <w:semiHidden/>
    <w:rsid w:val="00983A14"/>
    <w:rPr>
      <w:sz w:val="16"/>
      <w:szCs w:val="16"/>
    </w:rPr>
  </w:style>
  <w:style w:type="paragraph" w:styleId="Tekstkomentarza">
    <w:name w:val="annotation text"/>
    <w:basedOn w:val="Normalny"/>
    <w:link w:val="TekstkomentarzaZnak"/>
    <w:uiPriority w:val="99"/>
    <w:semiHidden/>
    <w:rsid w:val="00983A14"/>
    <w:pPr>
      <w:widowControl w:val="0"/>
      <w:autoSpaceDE w:val="0"/>
      <w:autoSpaceDN w:val="0"/>
      <w:adjustRightInd w:val="0"/>
      <w:spacing w:after="0" w:line="360" w:lineRule="auto"/>
    </w:pPr>
    <w:rPr>
      <w:rFonts w:ascii="Times" w:eastAsia="Times New Roman" w:hAnsi="Times" w:cs="Times New Roman"/>
      <w:sz w:val="24"/>
      <w:szCs w:val="24"/>
      <w:lang w:eastAsia="pl-PL"/>
    </w:rPr>
  </w:style>
  <w:style w:type="character" w:customStyle="1" w:styleId="TekstkomentarzaZnak">
    <w:name w:val="Tekst komentarza Znak"/>
    <w:basedOn w:val="Domylnaczcionkaakapitu"/>
    <w:link w:val="Tekstkomentarza"/>
    <w:uiPriority w:val="99"/>
    <w:semiHidden/>
    <w:rsid w:val="00983A14"/>
    <w:rPr>
      <w:rFonts w:ascii="Times" w:eastAsia="Times New Roman" w:hAnsi="Times" w:cs="Times New Roman"/>
      <w:sz w:val="24"/>
      <w:szCs w:val="24"/>
      <w:lang w:eastAsia="pl-PL"/>
    </w:rPr>
  </w:style>
  <w:style w:type="character" w:customStyle="1" w:styleId="Ppogrubienie">
    <w:name w:val="_P_ – pogrubienie"/>
    <w:uiPriority w:val="1"/>
    <w:qFormat/>
    <w:rsid w:val="00983A14"/>
    <w:rPr>
      <w:b/>
    </w:rPr>
  </w:style>
  <w:style w:type="paragraph" w:styleId="Akapitzlist">
    <w:name w:val="List Paragraph"/>
    <w:basedOn w:val="Normalny"/>
    <w:uiPriority w:val="34"/>
    <w:qFormat/>
    <w:rsid w:val="00983A14"/>
    <w:pPr>
      <w:ind w:left="720"/>
      <w:contextualSpacing/>
    </w:pPr>
  </w:style>
  <w:style w:type="paragraph" w:customStyle="1" w:styleId="USTustnpkodeksu">
    <w:name w:val="UST(§) – ust. (§ np. kodeksu)"/>
    <w:basedOn w:val="ARTartustawynprozporzdzenia"/>
    <w:uiPriority w:val="12"/>
    <w:qFormat/>
    <w:rsid w:val="009A3389"/>
    <w:pPr>
      <w:spacing w:before="0"/>
    </w:pPr>
    <w:rPr>
      <w:bCs/>
    </w:rPr>
  </w:style>
  <w:style w:type="paragraph" w:styleId="Nagwek">
    <w:name w:val="header"/>
    <w:basedOn w:val="Normalny"/>
    <w:link w:val="NagwekZnak"/>
    <w:uiPriority w:val="99"/>
    <w:unhideWhenUsed/>
    <w:rsid w:val="00735A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5AA5"/>
  </w:style>
  <w:style w:type="paragraph" w:styleId="Stopka">
    <w:name w:val="footer"/>
    <w:basedOn w:val="Normalny"/>
    <w:link w:val="StopkaZnak"/>
    <w:uiPriority w:val="99"/>
    <w:unhideWhenUsed/>
    <w:rsid w:val="00735A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5AA5"/>
  </w:style>
  <w:style w:type="character" w:customStyle="1" w:styleId="Nagwek2Znak">
    <w:name w:val="Nagłówek 2 Znak"/>
    <w:basedOn w:val="Domylnaczcionkaakapitu"/>
    <w:link w:val="Nagwek2"/>
    <w:uiPriority w:val="9"/>
    <w:rsid w:val="004A28E0"/>
    <w:rPr>
      <w:rFonts w:asciiTheme="majorHAnsi" w:eastAsiaTheme="majorEastAsia" w:hAnsiTheme="majorHAnsi" w:cstheme="majorBidi"/>
      <w:b/>
      <w:bCs/>
      <w:color w:val="4F81BD" w:themeColor="accent1"/>
      <w:sz w:val="26"/>
      <w:szCs w:val="26"/>
    </w:rPr>
  </w:style>
  <w:style w:type="paragraph" w:styleId="Tekstprzypisudolnego">
    <w:name w:val="footnote text"/>
    <w:basedOn w:val="Normalny"/>
    <w:link w:val="TekstprzypisudolnegoZnak"/>
    <w:rsid w:val="00B5430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B54306"/>
    <w:rPr>
      <w:rFonts w:ascii="Times New Roman" w:eastAsia="Times New Roman" w:hAnsi="Times New Roman" w:cs="Times New Roman"/>
      <w:sz w:val="20"/>
      <w:szCs w:val="20"/>
      <w:lang w:eastAsia="pl-PL"/>
    </w:rPr>
  </w:style>
  <w:style w:type="character" w:styleId="Odwoanieprzypisudolnego">
    <w:name w:val="footnote reference"/>
    <w:aliases w:val="FZ"/>
    <w:rsid w:val="00B54306"/>
    <w:rPr>
      <w:vertAlign w:val="superscript"/>
    </w:rPr>
  </w:style>
  <w:style w:type="character" w:styleId="Hipercze">
    <w:name w:val="Hyperlink"/>
    <w:basedOn w:val="Domylnaczcionkaakapitu"/>
    <w:uiPriority w:val="99"/>
    <w:unhideWhenUsed/>
    <w:rsid w:val="00DC4396"/>
    <w:rPr>
      <w:color w:val="0000FF" w:themeColor="hyperlink"/>
      <w:u w:val="single"/>
    </w:rPr>
  </w:style>
  <w:style w:type="paragraph" w:customStyle="1" w:styleId="Default">
    <w:name w:val="Default"/>
    <w:rsid w:val="00C87548"/>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styleId="Tekstprzypisukocowego">
    <w:name w:val="endnote text"/>
    <w:basedOn w:val="Normalny"/>
    <w:link w:val="TekstprzypisukocowegoZnak"/>
    <w:uiPriority w:val="99"/>
    <w:semiHidden/>
    <w:unhideWhenUsed/>
    <w:rsid w:val="00DA7AB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7AB3"/>
    <w:rPr>
      <w:sz w:val="20"/>
      <w:szCs w:val="20"/>
    </w:rPr>
  </w:style>
  <w:style w:type="character" w:styleId="Odwoanieprzypisukocowego">
    <w:name w:val="endnote reference"/>
    <w:basedOn w:val="Domylnaczcionkaakapitu"/>
    <w:uiPriority w:val="99"/>
    <w:semiHidden/>
    <w:unhideWhenUsed/>
    <w:rsid w:val="00DA7AB3"/>
    <w:rPr>
      <w:vertAlign w:val="superscript"/>
    </w:rPr>
  </w:style>
  <w:style w:type="paragraph" w:customStyle="1" w:styleId="ZUSTzmustartykuempunktem">
    <w:name w:val="Z/UST(§) – zm. ust. (§) artykułem (punktem)"/>
    <w:basedOn w:val="Normalny"/>
    <w:uiPriority w:val="30"/>
    <w:qFormat/>
    <w:rsid w:val="00A90657"/>
    <w:pPr>
      <w:suppressAutoHyphens/>
      <w:autoSpaceDE w:val="0"/>
      <w:autoSpaceDN w:val="0"/>
      <w:adjustRightInd w:val="0"/>
      <w:spacing w:after="0" w:line="360" w:lineRule="auto"/>
      <w:ind w:left="510" w:firstLine="510"/>
      <w:jc w:val="both"/>
    </w:pPr>
    <w:rPr>
      <w:rFonts w:ascii="Times" w:eastAsia="Times New Roman" w:hAnsi="Times" w:cs="Arial"/>
      <w:sz w:val="24"/>
      <w:szCs w:val="20"/>
      <w:lang w:eastAsia="pl-PL"/>
    </w:rPr>
  </w:style>
  <w:style w:type="character" w:customStyle="1" w:styleId="articletitle">
    <w:name w:val="articletitle"/>
    <w:basedOn w:val="Domylnaczcionkaakapitu"/>
    <w:rsid w:val="00546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40463">
      <w:bodyDiv w:val="1"/>
      <w:marLeft w:val="0"/>
      <w:marRight w:val="0"/>
      <w:marTop w:val="0"/>
      <w:marBottom w:val="0"/>
      <w:divBdr>
        <w:top w:val="none" w:sz="0" w:space="0" w:color="auto"/>
        <w:left w:val="none" w:sz="0" w:space="0" w:color="auto"/>
        <w:bottom w:val="none" w:sz="0" w:space="0" w:color="auto"/>
        <w:right w:val="none" w:sz="0" w:space="0" w:color="auto"/>
      </w:divBdr>
    </w:div>
    <w:div w:id="497120099">
      <w:bodyDiv w:val="1"/>
      <w:marLeft w:val="0"/>
      <w:marRight w:val="0"/>
      <w:marTop w:val="0"/>
      <w:marBottom w:val="0"/>
      <w:divBdr>
        <w:top w:val="none" w:sz="0" w:space="0" w:color="auto"/>
        <w:left w:val="none" w:sz="0" w:space="0" w:color="auto"/>
        <w:bottom w:val="none" w:sz="0" w:space="0" w:color="auto"/>
        <w:right w:val="none" w:sz="0" w:space="0" w:color="auto"/>
      </w:divBdr>
    </w:div>
    <w:div w:id="560749656">
      <w:bodyDiv w:val="1"/>
      <w:marLeft w:val="0"/>
      <w:marRight w:val="0"/>
      <w:marTop w:val="0"/>
      <w:marBottom w:val="0"/>
      <w:divBdr>
        <w:top w:val="none" w:sz="0" w:space="0" w:color="auto"/>
        <w:left w:val="none" w:sz="0" w:space="0" w:color="auto"/>
        <w:bottom w:val="none" w:sz="0" w:space="0" w:color="auto"/>
        <w:right w:val="none" w:sz="0" w:space="0" w:color="auto"/>
      </w:divBdr>
    </w:div>
    <w:div w:id="621884763">
      <w:bodyDiv w:val="1"/>
      <w:marLeft w:val="0"/>
      <w:marRight w:val="0"/>
      <w:marTop w:val="0"/>
      <w:marBottom w:val="0"/>
      <w:divBdr>
        <w:top w:val="none" w:sz="0" w:space="0" w:color="auto"/>
        <w:left w:val="none" w:sz="0" w:space="0" w:color="auto"/>
        <w:bottom w:val="none" w:sz="0" w:space="0" w:color="auto"/>
        <w:right w:val="none" w:sz="0" w:space="0" w:color="auto"/>
      </w:divBdr>
    </w:div>
    <w:div w:id="1148205075">
      <w:bodyDiv w:val="1"/>
      <w:marLeft w:val="0"/>
      <w:marRight w:val="0"/>
      <w:marTop w:val="0"/>
      <w:marBottom w:val="0"/>
      <w:divBdr>
        <w:top w:val="none" w:sz="0" w:space="0" w:color="auto"/>
        <w:left w:val="none" w:sz="0" w:space="0" w:color="auto"/>
        <w:bottom w:val="none" w:sz="0" w:space="0" w:color="auto"/>
        <w:right w:val="none" w:sz="0" w:space="0" w:color="auto"/>
      </w:divBdr>
      <w:divsChild>
        <w:div w:id="1733305875">
          <w:marLeft w:val="0"/>
          <w:marRight w:val="0"/>
          <w:marTop w:val="0"/>
          <w:marBottom w:val="0"/>
          <w:divBdr>
            <w:top w:val="none" w:sz="0" w:space="0" w:color="auto"/>
            <w:left w:val="none" w:sz="0" w:space="0" w:color="auto"/>
            <w:bottom w:val="none" w:sz="0" w:space="0" w:color="auto"/>
            <w:right w:val="none" w:sz="0" w:space="0" w:color="auto"/>
          </w:divBdr>
          <w:divsChild>
            <w:div w:id="868571415">
              <w:marLeft w:val="0"/>
              <w:marRight w:val="0"/>
              <w:marTop w:val="0"/>
              <w:marBottom w:val="0"/>
              <w:divBdr>
                <w:top w:val="none" w:sz="0" w:space="0" w:color="auto"/>
                <w:left w:val="none" w:sz="0" w:space="0" w:color="auto"/>
                <w:bottom w:val="none" w:sz="0" w:space="0" w:color="auto"/>
                <w:right w:val="none" w:sz="0" w:space="0" w:color="auto"/>
              </w:divBdr>
              <w:divsChild>
                <w:div w:id="1780685984">
                  <w:marLeft w:val="0"/>
                  <w:marRight w:val="0"/>
                  <w:marTop w:val="0"/>
                  <w:marBottom w:val="0"/>
                  <w:divBdr>
                    <w:top w:val="none" w:sz="0" w:space="0" w:color="auto"/>
                    <w:left w:val="none" w:sz="0" w:space="0" w:color="auto"/>
                    <w:bottom w:val="none" w:sz="0" w:space="0" w:color="auto"/>
                    <w:right w:val="none" w:sz="0" w:space="0" w:color="auto"/>
                  </w:divBdr>
                  <w:divsChild>
                    <w:div w:id="1016031936">
                      <w:marLeft w:val="0"/>
                      <w:marRight w:val="0"/>
                      <w:marTop w:val="0"/>
                      <w:marBottom w:val="0"/>
                      <w:divBdr>
                        <w:top w:val="none" w:sz="0" w:space="0" w:color="auto"/>
                        <w:left w:val="none" w:sz="0" w:space="0" w:color="auto"/>
                        <w:bottom w:val="none" w:sz="0" w:space="0" w:color="auto"/>
                        <w:right w:val="none" w:sz="0" w:space="0" w:color="auto"/>
                      </w:divBdr>
                      <w:divsChild>
                        <w:div w:id="1544362478">
                          <w:marLeft w:val="0"/>
                          <w:marRight w:val="0"/>
                          <w:marTop w:val="0"/>
                          <w:marBottom w:val="0"/>
                          <w:divBdr>
                            <w:top w:val="none" w:sz="0" w:space="0" w:color="auto"/>
                            <w:left w:val="none" w:sz="0" w:space="0" w:color="auto"/>
                            <w:bottom w:val="none" w:sz="0" w:space="0" w:color="auto"/>
                            <w:right w:val="none" w:sz="0" w:space="0" w:color="auto"/>
                          </w:divBdr>
                          <w:divsChild>
                            <w:div w:id="258022601">
                              <w:marLeft w:val="0"/>
                              <w:marRight w:val="0"/>
                              <w:marTop w:val="0"/>
                              <w:marBottom w:val="0"/>
                              <w:divBdr>
                                <w:top w:val="none" w:sz="0" w:space="0" w:color="auto"/>
                                <w:left w:val="none" w:sz="0" w:space="0" w:color="auto"/>
                                <w:bottom w:val="none" w:sz="0" w:space="0" w:color="auto"/>
                                <w:right w:val="none" w:sz="0" w:space="0" w:color="auto"/>
                              </w:divBdr>
                              <w:divsChild>
                                <w:div w:id="1346706347">
                                  <w:marLeft w:val="0"/>
                                  <w:marRight w:val="0"/>
                                  <w:marTop w:val="0"/>
                                  <w:marBottom w:val="0"/>
                                  <w:divBdr>
                                    <w:top w:val="none" w:sz="0" w:space="0" w:color="auto"/>
                                    <w:left w:val="none" w:sz="0" w:space="0" w:color="auto"/>
                                    <w:bottom w:val="none" w:sz="0" w:space="0" w:color="auto"/>
                                    <w:right w:val="none" w:sz="0" w:space="0" w:color="auto"/>
                                  </w:divBdr>
                                  <w:divsChild>
                                    <w:div w:id="124154596">
                                      <w:marLeft w:val="0"/>
                                      <w:marRight w:val="0"/>
                                      <w:marTop w:val="0"/>
                                      <w:marBottom w:val="0"/>
                                      <w:divBdr>
                                        <w:top w:val="none" w:sz="0" w:space="0" w:color="auto"/>
                                        <w:left w:val="none" w:sz="0" w:space="0" w:color="auto"/>
                                        <w:bottom w:val="none" w:sz="0" w:space="0" w:color="auto"/>
                                        <w:right w:val="none" w:sz="0" w:space="0" w:color="auto"/>
                                      </w:divBdr>
                                      <w:divsChild>
                                        <w:div w:id="467091330">
                                          <w:marLeft w:val="0"/>
                                          <w:marRight w:val="0"/>
                                          <w:marTop w:val="0"/>
                                          <w:marBottom w:val="0"/>
                                          <w:divBdr>
                                            <w:top w:val="none" w:sz="0" w:space="0" w:color="auto"/>
                                            <w:left w:val="none" w:sz="0" w:space="0" w:color="auto"/>
                                            <w:bottom w:val="none" w:sz="0" w:space="0" w:color="auto"/>
                                            <w:right w:val="none" w:sz="0" w:space="0" w:color="auto"/>
                                          </w:divBdr>
                                          <w:divsChild>
                                            <w:div w:id="166748998">
                                              <w:marLeft w:val="0"/>
                                              <w:marRight w:val="0"/>
                                              <w:marTop w:val="0"/>
                                              <w:marBottom w:val="0"/>
                                              <w:divBdr>
                                                <w:top w:val="none" w:sz="0" w:space="0" w:color="auto"/>
                                                <w:left w:val="none" w:sz="0" w:space="0" w:color="auto"/>
                                                <w:bottom w:val="none" w:sz="0" w:space="0" w:color="auto"/>
                                                <w:right w:val="none" w:sz="0" w:space="0" w:color="auto"/>
                                              </w:divBdr>
                                              <w:divsChild>
                                                <w:div w:id="486239557">
                                                  <w:marLeft w:val="0"/>
                                                  <w:marRight w:val="0"/>
                                                  <w:marTop w:val="0"/>
                                                  <w:marBottom w:val="0"/>
                                                  <w:divBdr>
                                                    <w:top w:val="none" w:sz="0" w:space="0" w:color="auto"/>
                                                    <w:left w:val="none" w:sz="0" w:space="0" w:color="auto"/>
                                                    <w:bottom w:val="none" w:sz="0" w:space="0" w:color="auto"/>
                                                    <w:right w:val="none" w:sz="0" w:space="0" w:color="auto"/>
                                                  </w:divBdr>
                                                  <w:divsChild>
                                                    <w:div w:id="1501652806">
                                                      <w:marLeft w:val="0"/>
                                                      <w:marRight w:val="0"/>
                                                      <w:marTop w:val="0"/>
                                                      <w:marBottom w:val="0"/>
                                                      <w:divBdr>
                                                        <w:top w:val="none" w:sz="0" w:space="0" w:color="auto"/>
                                                        <w:left w:val="none" w:sz="0" w:space="0" w:color="auto"/>
                                                        <w:bottom w:val="none" w:sz="0" w:space="0" w:color="auto"/>
                                                        <w:right w:val="none" w:sz="0" w:space="0" w:color="auto"/>
                                                      </w:divBdr>
                                                    </w:div>
                                                    <w:div w:id="1276135944">
                                                      <w:marLeft w:val="0"/>
                                                      <w:marRight w:val="0"/>
                                                      <w:marTop w:val="0"/>
                                                      <w:marBottom w:val="0"/>
                                                      <w:divBdr>
                                                        <w:top w:val="none" w:sz="0" w:space="0" w:color="auto"/>
                                                        <w:left w:val="none" w:sz="0" w:space="0" w:color="auto"/>
                                                        <w:bottom w:val="none" w:sz="0" w:space="0" w:color="auto"/>
                                                        <w:right w:val="none" w:sz="0" w:space="0" w:color="auto"/>
                                                      </w:divBdr>
                                                      <w:divsChild>
                                                        <w:div w:id="441608398">
                                                          <w:marLeft w:val="0"/>
                                                          <w:marRight w:val="0"/>
                                                          <w:marTop w:val="0"/>
                                                          <w:marBottom w:val="0"/>
                                                          <w:divBdr>
                                                            <w:top w:val="none" w:sz="0" w:space="0" w:color="auto"/>
                                                            <w:left w:val="none" w:sz="0" w:space="0" w:color="auto"/>
                                                            <w:bottom w:val="none" w:sz="0" w:space="0" w:color="auto"/>
                                                            <w:right w:val="none" w:sz="0" w:space="0" w:color="auto"/>
                                                          </w:divBdr>
                                                          <w:divsChild>
                                                            <w:div w:id="211139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8722">
                                                      <w:marLeft w:val="0"/>
                                                      <w:marRight w:val="0"/>
                                                      <w:marTop w:val="0"/>
                                                      <w:marBottom w:val="0"/>
                                                      <w:divBdr>
                                                        <w:top w:val="none" w:sz="0" w:space="0" w:color="auto"/>
                                                        <w:left w:val="none" w:sz="0" w:space="0" w:color="auto"/>
                                                        <w:bottom w:val="none" w:sz="0" w:space="0" w:color="auto"/>
                                                        <w:right w:val="none" w:sz="0" w:space="0" w:color="auto"/>
                                                      </w:divBdr>
                                                      <w:divsChild>
                                                        <w:div w:id="722287400">
                                                          <w:marLeft w:val="0"/>
                                                          <w:marRight w:val="0"/>
                                                          <w:marTop w:val="0"/>
                                                          <w:marBottom w:val="0"/>
                                                          <w:divBdr>
                                                            <w:top w:val="none" w:sz="0" w:space="0" w:color="auto"/>
                                                            <w:left w:val="none" w:sz="0" w:space="0" w:color="auto"/>
                                                            <w:bottom w:val="none" w:sz="0" w:space="0" w:color="auto"/>
                                                            <w:right w:val="none" w:sz="0" w:space="0" w:color="auto"/>
                                                          </w:divBdr>
                                                          <w:divsChild>
                                                            <w:div w:id="1038121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636027">
                                                      <w:marLeft w:val="0"/>
                                                      <w:marRight w:val="0"/>
                                                      <w:marTop w:val="0"/>
                                                      <w:marBottom w:val="0"/>
                                                      <w:divBdr>
                                                        <w:top w:val="none" w:sz="0" w:space="0" w:color="auto"/>
                                                        <w:left w:val="none" w:sz="0" w:space="0" w:color="auto"/>
                                                        <w:bottom w:val="none" w:sz="0" w:space="0" w:color="auto"/>
                                                        <w:right w:val="none" w:sz="0" w:space="0" w:color="auto"/>
                                                      </w:divBdr>
                                                      <w:divsChild>
                                                        <w:div w:id="1823041969">
                                                          <w:marLeft w:val="0"/>
                                                          <w:marRight w:val="0"/>
                                                          <w:marTop w:val="0"/>
                                                          <w:marBottom w:val="0"/>
                                                          <w:divBdr>
                                                            <w:top w:val="none" w:sz="0" w:space="0" w:color="auto"/>
                                                            <w:left w:val="none" w:sz="0" w:space="0" w:color="auto"/>
                                                            <w:bottom w:val="none" w:sz="0" w:space="0" w:color="auto"/>
                                                            <w:right w:val="none" w:sz="0" w:space="0" w:color="auto"/>
                                                          </w:divBdr>
                                                          <w:divsChild>
                                                            <w:div w:id="160159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51231102">
      <w:bodyDiv w:val="1"/>
      <w:marLeft w:val="0"/>
      <w:marRight w:val="0"/>
      <w:marTop w:val="0"/>
      <w:marBottom w:val="0"/>
      <w:divBdr>
        <w:top w:val="none" w:sz="0" w:space="0" w:color="auto"/>
        <w:left w:val="none" w:sz="0" w:space="0" w:color="auto"/>
        <w:bottom w:val="none" w:sz="0" w:space="0" w:color="auto"/>
        <w:right w:val="none" w:sz="0" w:space="0" w:color="auto"/>
      </w:divBdr>
    </w:div>
    <w:div w:id="145471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ws.gov.pl/wp-content/uploads/2018/08/IWS_Wiewi%C3%B3rowska-A-_-sprzeda%C5%BCy-konsumenckiej1.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ws.gov.pl/wp-content/uploads/2018/08/IWS_Doma%C5%84ski-M._Wybrane-zagadnienia-orzekania-o-umieszczeniu-dziecka-w-pieczy-zast%C4%99pczej2.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9E344-A28A-4946-AA5C-CEB1547ED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7745</Words>
  <Characters>46474</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54111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Lukasz Kaniuka</dc:creator>
  <cp:lastModifiedBy>Pawlak Justyna  (DLPC)</cp:lastModifiedBy>
  <cp:revision>2</cp:revision>
  <cp:lastPrinted>2021-10-11T13:00:00Z</cp:lastPrinted>
  <dcterms:created xsi:type="dcterms:W3CDTF">2022-09-12T07:55:00Z</dcterms:created>
  <dcterms:modified xsi:type="dcterms:W3CDTF">2022-09-12T07:55:00Z</dcterms:modified>
</cp:coreProperties>
</file>